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w:t>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w:t>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ενενήντα τουλάχιστον τοις εκατό (90%) των συνολικών οφειλών του προσώπου της παρ. 1 σε χρηματοδοτικούς φορείς, στο Δημόσιο και στους Φορείς Κοινωνικής Ασφάλισης οφείλεται σε έναν χρηματοδοτικό φορέα ή το σύνολο των οφειλών του προς τα πρόσωπα αυτά δεν υπερβαίνει το ποσό των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w:t>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οφειλές προς αλλοδαπό Δημόσιο, καθώς και οφειλές υπέρ τρίτων.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spacing w:before="240" w:after="240"/>
        <w:rPr>
          <w:lang w:val="el" w:eastAsia="el"/>
        </w:rPr>
      </w:pPr>
      <w:r>
        <w:rPr>
          <w:lang w:val="el" w:eastAsia="el"/>
        </w:rPr>
        <w:t>Η αίτηση οφειλέτη για εξωδικαστική ρύθμιση των οφειλών του περιέχει υποχρεωτικά τα εξής:</w:t>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Η υποβολή της αίτησης αναστέλλει τη διαδικασία του Κώδικα Δεοντολογίας Τραπεζών (195/1/29.7.2016 απόφαση της Επιτροπής Πιστωτικών και Ασφαλιστικών Θεμάτων της Τράπεζας της Ελλάδος, Β΄ 2376)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 </w:t>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w:t>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Σε περίπτωση που εντός δέκα (10) ημερολογιακών ημερών από τη λήψη πρότασης ο οφειλέτης καταθέσει αίτημα υποβολής σε διαμεσολάβηση και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ενώ σε κάθε άλλη περίπτωση την ευθύνη αναλαμβάνει διαπιστευμένος μεσολαβητής, ο οποίος πρέπει να διαθέτει επιπλέον έγγραφο ότι έχει ολοκληρώσει ειδική εκπαίδευση σε χρηματοοικονομική διαμεσολάβηση. Σε περίπτωση που παρά την παρέλευση τριάντα (30) ημερών από την ημερομηνία υποβολής του αιτήματος δεν έχει επιτευχθεί η υπογραφή συμφωνίας αναδιάρθρωσης μεταξύ της πλειοψηφίας των πιστωτών και του οφειλέτη, τότε η διαδικασία θεωρείται λήξασα χωρίς δυνατότητα παράτασης ή ανανέωσης.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υποβολής της αίτησης, η διαδικασία θεωρείται περατωθείσα ως άκαρπη. Η προθεσμία αυτή ισχύει και στην περίπτωση υποβολής σε διαμεσολάβηση, σύμφωνα με το άρθρο 15.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η διαδικασία εξωδικαστικής ρύθμισης περαιώνεται άμεσα ως άκαρπη. Για το πρώτο έτος εφαρμογής του νόμου,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της οφειλές των οποίων ζητείται η ρύθμιση. Για το πρώτο έτος εφαρμογής του νόμου,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 απόρριψη της αίτησης.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 ή, κατά περίπτωση, γνωμοδότηση διαχειριστή αφερεγγυότητας, σε περίπτωση που συντρέχουν οι προϋποθέσεις της παρ. 3 του άρθρου 21.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(ι) και (ii) της περ. β΄ της παρ. 2, είναι σύννομη, εφόσον η προτεινόμενη σύμβαση έχει εξασφαλίσει τις συναινέσεις της παρ. 1 του άρθρου 14 και λαμβάνεται σύμφωνη αιτιολογημένη γνώμη διαχειριστή αφερεγγυ</w:t>
      </w:r>
      <w:r>
        <w:rPr>
          <w:lang w:val="el" w:eastAsia="el"/>
        </w:rPr>
        <w:softHyphen/>
        <w:t>ότητας, τον οποίο επιλέγουν οι χρηματοδοτικοί φορείς και καλύπτουν την αμοιβή του, για το ότι (α) η σύμβαση δεν επιφυλάσσει στο Δημόσιο ή τους Φορείς Κοινωνικής Ασφάλισης χειρότερη μεταχείριση από ό,τι θα ίσχυε σε περίπτωση πτώχευσης του οφειλέτη και (β) ότι η εφαρμογή της σύμβασης αναδιάρθρωσης επιτρέπει τη βιώσιμη λειτουργία του (αν είναι επιχείρηση) ή τον καθιστά αξιόχρεο και επιπλέον ικανοποιούνται οι προϋποθέσεις του άρθρου 22.</w:t>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w:t>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w:t>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καθώς και η προβλεπόμενη Αναλυτική Περιοδική Δήλωση (Α.Π.Δ.),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spacing w:before="240" w:after="240"/>
        <w:rPr>
          <w:lang w:val="el" w:eastAsia="el"/>
        </w:rPr>
      </w:pPr>
      <w:r>
        <w:rPr>
          <w:lang w:val="el" w:eastAsia="el"/>
        </w:rPr>
        <w:t>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2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τραπεζών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5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58"/>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31η Ιανουαρίου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(ν.δ. 356/1974, Α΄ 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181) ή</w:t>
      </w:r>
    </w:p>
    <w:p>
      <w:pPr>
        <w:spacing w:before="240" w:after="240"/>
        <w:rPr>
          <w:lang w:val="el" w:eastAsia="el"/>
        </w:rPr>
      </w:pPr>
      <w:r>
        <w:rPr>
          <w:lang w:val="el" w:eastAsia="el"/>
        </w:rPr>
        <w:t>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7Οκτωβρίου 2019,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4" w:history="1">
        <w:r>
          <w:rPr>
            <w:rStyle w:val="Hyperlink"/>
            <w:color w:val="0000EE"/>
            <w:u w:color="0000EE"/>
            <w:lang w:val="el" w:eastAsia="el"/>
          </w:rPr>
          <w:t>Προσθήκη 4818/2021, Άρθρο 34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4" w:history="1">
        <w:r>
          <w:rPr>
            <w:rStyle w:val="Hyperlink"/>
            <w:color w:val="0000EE"/>
            <w:u w:color="0000EE"/>
            <w:lang w:val="el" w:eastAsia="el"/>
          </w:rPr>
          <w:t>Τροποποίηση 4818/2021, Άρθρο 34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Τροποποίηση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4" w:history="1">
        <w:r>
          <w:rPr>
            <w:rStyle w:val="Hyperlink"/>
            <w:color w:val="0000EE"/>
            <w:u w:color="0000EE"/>
            <w:lang w:val="el" w:eastAsia="el"/>
          </w:rPr>
          <w:t>Τροποποίηση 4818/2021, Άρθρο 34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4" w:history="1">
        <w:r>
          <w:rPr>
            <w:rStyle w:val="Hyperlink"/>
            <w:color w:val="0000EE"/>
            <w:u w:color="0000EE"/>
            <w:lang w:val="el" w:eastAsia="el"/>
          </w:rPr>
          <w:t>Τροποποίηση 4818/2021, Άρθρο 34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4" w:history="1">
        <w:r>
          <w:rPr>
            <w:rStyle w:val="Hyperlink"/>
            <w:color w:val="0000EE"/>
            <w:u w:color="0000EE"/>
            <w:lang w:val="el" w:eastAsia="el"/>
          </w:rPr>
          <w:t>Τροποποίηση 4818/2021, Άρθρο 34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4" w:history="1">
        <w:r>
          <w:rPr>
            <w:rStyle w:val="Hyperlink"/>
            <w:color w:val="0000EE"/>
            <w:u w:color="0000EE"/>
            <w:lang w:val="el" w:eastAsia="el"/>
          </w:rPr>
          <w:t>Τροποποίηση 4818/2021, Άρθρο 34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4" w:history="1">
        <w:r>
          <w:rPr>
            <w:rStyle w:val="Hyperlink"/>
            <w:color w:val="0000EE"/>
            <w:u w:color="0000EE"/>
            <w:lang w:val="el" w:eastAsia="el"/>
          </w:rPr>
          <w:t>Τροποποίηση 4821/2021, Άρθρο 84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4" w:history="1">
        <w:r>
          <w:rPr>
            <w:rStyle w:val="Hyperlink"/>
            <w:color w:val="0000EE"/>
            <w:u w:color="0000EE"/>
            <w:lang w:val="el" w:eastAsia="el"/>
          </w:rPr>
          <w:t>Τροποποίηση 4821/2021, Άρθρο 84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Προσθήκη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Προσθήκη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Προσθήκη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Προσθήκη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Προσθήκη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4" w:history="1">
        <w:r>
          <w:rPr>
            <w:rStyle w:val="Hyperlink"/>
            <w:color w:val="0000EE"/>
            <w:u w:color="0000EE"/>
            <w:lang w:val="el" w:eastAsia="el"/>
          </w:rPr>
          <w:t>Προσθήκη 4818/2021, Άρθρο 34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4" w:history="1">
        <w:r>
          <w:rPr>
            <w:rStyle w:val="Hyperlink"/>
            <w:color w:val="0000EE"/>
            <w:u w:color="0000EE"/>
            <w:lang w:val="el" w:eastAsia="el"/>
          </w:rPr>
          <w:t>Προσθήκη 4818/2021, Άρθρο 34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Προσθήκη 4818/2021, Άρθρο 34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4" w:history="1">
        <w:r>
          <w:rPr>
            <w:rStyle w:val="Hyperlink"/>
            <w:color w:val="0000EE"/>
            <w:u w:color="0000EE"/>
            <w:lang w:val="el" w:eastAsia="el"/>
          </w:rPr>
          <w:t>Τροποποίηση 4818/2021, Άρθρο 34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4" w:history="1">
        <w:r>
          <w:rPr>
            <w:rStyle w:val="Hyperlink"/>
            <w:color w:val="0000EE"/>
            <w:u w:color="0000EE"/>
            <w:lang w:val="el" w:eastAsia="el"/>
          </w:rPr>
          <w:t>Τροποποίηση 4818/2021, Άρθρο 34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4" w:history="1">
        <w:r>
          <w:rPr>
            <w:rStyle w:val="Hyperlink"/>
            <w:color w:val="0000EE"/>
            <w:u w:color="0000EE"/>
            <w:lang w:val="el" w:eastAsia="el"/>
          </w:rPr>
          <w:t>Τροποποίηση 4818/2021,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4" w:history="1">
        <w:r>
          <w:rPr>
            <w:rStyle w:val="Hyperlink"/>
            <w:color w:val="0000EE"/>
            <w:u w:color="0000EE"/>
            <w:lang w:val="el" w:eastAsia="el"/>
          </w:rPr>
          <w:t>Τροποποίηση 4818/2021, Άρθρο 34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4" w:history="1">
        <w:r>
          <w:rPr>
            <w:rStyle w:val="Hyperlink"/>
            <w:color w:val="0000EE"/>
            <w:u w:color="0000EE"/>
            <w:lang w:val="el" w:eastAsia="el"/>
          </w:rPr>
          <w:t>Προσθήκη 4818/2021, Άρθρο 34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4" w:history="1">
        <w:r>
          <w:rPr>
            <w:rStyle w:val="Hyperlink"/>
            <w:color w:val="0000EE"/>
            <w:u w:color="0000EE"/>
            <w:lang w:val="el" w:eastAsia="el"/>
          </w:rPr>
          <w:t>Τροποποίηση 4818/2021, Άρθρο 34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Τροποποίηση 4818/2021, Άρθρο 34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Τροποποίηση 4818/2021,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Τροποποίηση 4818/2021,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Τροποποίηση 4818/2021,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Τροποποίηση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Τροποποίηση 4818/2021,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4818/2021,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Τροποποίηση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Τροποποίηση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Προσθήκη 4818/2021, Άρθρο 34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4" w:history="1">
        <w:r>
          <w:rPr>
            <w:rStyle w:val="Hyperlink"/>
            <w:color w:val="0000EE"/>
            <w:u w:color="0000EE"/>
            <w:lang w:val="el" w:eastAsia="el"/>
          </w:rPr>
          <w:t>Τροποποίηση 4818/2021, Άρθρο 34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4818/2021, Άρθρο 34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4" w:history="1">
        <w:r>
          <w:rPr>
            <w:rStyle w:val="Hyperlink"/>
            <w:color w:val="0000EE"/>
            <w:u w:color="0000EE"/>
            <w:lang w:val="el" w:eastAsia="el"/>
          </w:rPr>
          <w:t>Τροποποίηση 4818/2021, Άρθρο 34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4" w:history="1">
        <w:r>
          <w:rPr>
            <w:rStyle w:val="Hyperlink"/>
            <w:color w:val="0000EE"/>
            <w:u w:color="0000EE"/>
            <w:lang w:val="el" w:eastAsia="el"/>
          </w:rPr>
          <w:t>Προσθήκη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8" w:history="1">
        <w:r>
          <w:rPr>
            <w:rStyle w:val="Hyperlink"/>
            <w:color w:val="0000EE"/>
            <w:u w:color="0000EE"/>
            <w:lang w:val="el" w:eastAsia="el"/>
          </w:rPr>
          <w:t>Τροποποίηση 4818/2021, Άρθρο 38</w:t>
        </w:r>
      </w:hyperlink>
      <w:r>
        <w:rPr>
          <w:lang w:val="el" w:eastAsia="el"/>
        </w:rPr>
        <w:t xml:space="preserve">; </w:t>
      </w:r>
      <w:hyperlink r:id="rId47" w:anchor="art_83" w:history="1">
        <w:r>
          <w:rPr>
            <w:rStyle w:val="Hyperlink"/>
            <w:color w:val="0000EE"/>
            <w:u w:color="0000EE"/>
            <w:lang w:val="el" w:eastAsia="el"/>
          </w:rPr>
          <w:t>Τροποποίηση 4764/2020, Άρθρο 83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8" w:history="1">
        <w:r>
          <w:rPr>
            <w:rStyle w:val="Hyperlink"/>
            <w:color w:val="0000EE"/>
            <w:u w:color="0000EE"/>
            <w:lang w:val="el" w:eastAsia="el"/>
          </w:rPr>
          <w:t>Τροποποίηση 4818/2021, Άρθρο 38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8" w:history="1">
        <w:r>
          <w:rPr>
            <w:rStyle w:val="Hyperlink"/>
            <w:color w:val="0000EE"/>
            <w:u w:color="0000EE"/>
            <w:lang w:val="el" w:eastAsia="el"/>
          </w:rPr>
          <w:t>Τροποποίηση 4818/2021, Άρθρο 38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8" w:history="1">
        <w:r>
          <w:rPr>
            <w:rStyle w:val="Hyperlink"/>
            <w:color w:val="0000EE"/>
            <w:u w:color="0000EE"/>
            <w:lang w:val="el" w:eastAsia="el"/>
          </w:rPr>
          <w:t>Τροποποίηση 4818/2021, Άρθρο 38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8" w:history="1">
        <w:r>
          <w:rPr>
            <w:rStyle w:val="Hyperlink"/>
            <w:color w:val="0000EE"/>
            <w:u w:color="0000EE"/>
            <w:lang w:val="el" w:eastAsia="el"/>
          </w:rPr>
          <w:t>Τροποποίηση 4818/2021, Άρθρο 38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Τροποποίηση 4818/2021, Άρθρο 38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8" w:history="1">
        <w:r>
          <w:rPr>
            <w:rStyle w:val="Hyperlink"/>
            <w:color w:val="0000EE"/>
            <w:u w:color="0000EE"/>
            <w:lang w:val="el" w:eastAsia="el"/>
          </w:rPr>
          <w:t>Τροποποίηση 4818/2021, Άρθρο 38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8" w:history="1">
        <w:r>
          <w:rPr>
            <w:rStyle w:val="Hyperlink"/>
            <w:color w:val="0000EE"/>
            <w:u w:color="0000EE"/>
            <w:lang w:val="el" w:eastAsia="el"/>
          </w:rPr>
          <w:t>Τροποποίηση 4818/2021, Άρθρο 38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8" w:history="1">
        <w:r>
          <w:rPr>
            <w:rStyle w:val="Hyperlink"/>
            <w:color w:val="0000EE"/>
            <w:u w:color="0000EE"/>
            <w:lang w:val="el" w:eastAsia="el"/>
          </w:rPr>
          <w:t>Τροποποίηση 4818/2021, Άρθρο 38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8" w:history="1">
        <w:r>
          <w:rPr>
            <w:rStyle w:val="Hyperlink"/>
            <w:color w:val="0000EE"/>
            <w:u w:color="0000EE"/>
            <w:lang w:val="el" w:eastAsia="el"/>
          </w:rPr>
          <w:t>Τροποποίηση 4818/2021, Άρθρο 38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8" w:history="1">
        <w:r>
          <w:rPr>
            <w:rStyle w:val="Hyperlink"/>
            <w:color w:val="0000EE"/>
            <w:u w:color="0000EE"/>
            <w:lang w:val="el" w:eastAsia="el"/>
          </w:rPr>
          <w:t>Τροποποίηση 4818/2021, Άρθρο 38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8" w:history="1">
        <w:r>
          <w:rPr>
            <w:rStyle w:val="Hyperlink"/>
            <w:color w:val="0000EE"/>
            <w:u w:color="0000EE"/>
            <w:lang w:val="el" w:eastAsia="el"/>
          </w:rPr>
          <w:t>Τροποποίηση 4818/2021, Άρθρο 38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5" w:history="1">
        <w:r>
          <w:rPr>
            <w:rStyle w:val="Hyperlink"/>
            <w:color w:val="0000EE"/>
            <w:u w:color="0000EE"/>
            <w:lang w:val="el" w:eastAsia="el"/>
          </w:rPr>
          <w:t>Τροποποίηση 4821/2021, Άρθρο 75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5" w:history="1">
        <w:r>
          <w:rPr>
            <w:rStyle w:val="Hyperlink"/>
            <w:color w:val="0000EE"/>
            <w:u w:color="0000EE"/>
            <w:lang w:val="el" w:eastAsia="el"/>
          </w:rPr>
          <w:t>Τροποποίηση 4821/2021, Άρθρο 75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5" w:history="1">
        <w:r>
          <w:rPr>
            <w:rStyle w:val="Hyperlink"/>
            <w:color w:val="0000EE"/>
            <w:u w:color="0000EE"/>
            <w:lang w:val="el" w:eastAsia="el"/>
          </w:rPr>
          <w:t>Τροποποίηση 4821/2021, Άρθρο 75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75" w:history="1">
        <w:r>
          <w:rPr>
            <w:rStyle w:val="Hyperlink"/>
            <w:color w:val="0000EE"/>
            <w:u w:color="0000EE"/>
            <w:lang w:val="el" w:eastAsia="el"/>
          </w:rPr>
          <w:t>Τροποποίηση 4821/2021, Άρθρο 75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5" w:history="1">
        <w:r>
          <w:rPr>
            <w:rStyle w:val="Hyperlink"/>
            <w:color w:val="0000EE"/>
            <w:u w:color="0000EE"/>
            <w:lang w:val="el" w:eastAsia="el"/>
          </w:rPr>
          <w:t>Τροποποίηση 4821/2021, Άρθρο 75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5" w:history="1">
        <w:r>
          <w:rPr>
            <w:rStyle w:val="Hyperlink"/>
            <w:color w:val="0000EE"/>
            <w:u w:color="0000EE"/>
            <w:lang w:val="el" w:eastAsia="el"/>
          </w:rPr>
          <w:t>Τροποποίηση 4821/2021, Άρθρο 75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75" w:history="1">
        <w:r>
          <w:rPr>
            <w:rStyle w:val="Hyperlink"/>
            <w:color w:val="0000EE"/>
            <w:u w:color="0000EE"/>
            <w:lang w:val="el" w:eastAsia="el"/>
          </w:rPr>
          <w:t>Τροποποίηση 4821/2021, Άρθρο 75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75" w:history="1">
        <w:r>
          <w:rPr>
            <w:rStyle w:val="Hyperlink"/>
            <w:color w:val="0000EE"/>
            <w:u w:color="0000EE"/>
            <w:lang w:val="el" w:eastAsia="el"/>
          </w:rPr>
          <w:t>Τροποποίηση 4821/2021, Άρθρο 75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75" w:history="1">
        <w:r>
          <w:rPr>
            <w:rStyle w:val="Hyperlink"/>
            <w:color w:val="0000EE"/>
            <w:u w:color="0000EE"/>
            <w:lang w:val="el" w:eastAsia="el"/>
          </w:rPr>
          <w:t>Τροποποίηση 4821/2021, Άρθρο 75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9" w:history="1">
        <w:r>
          <w:rPr>
            <w:rStyle w:val="Hyperlink"/>
            <w:color w:val="0000EE"/>
            <w:u w:color="0000EE"/>
            <w:lang w:val="el" w:eastAsia="el"/>
          </w:rPr>
          <w:t>Προσθήκη 4850/2021, Άρθρο 109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75" w:history="1">
        <w:r>
          <w:rPr>
            <w:rStyle w:val="Hyperlink"/>
            <w:color w:val="0000EE"/>
            <w:u w:color="0000EE"/>
            <w:lang w:val="el" w:eastAsia="el"/>
          </w:rPr>
          <w:t>Προσθήκη 4821/2021, Άρθρο 75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75" w:history="1">
        <w:r>
          <w:rPr>
            <w:rStyle w:val="Hyperlink"/>
            <w:color w:val="0000EE"/>
            <w:u w:color="0000EE"/>
            <w:lang w:val="el" w:eastAsia="el"/>
          </w:rPr>
          <w:t>Τροποποίηση 4821/2021, Άρθρο 75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75" w:history="1">
        <w:r>
          <w:rPr>
            <w:rStyle w:val="Hyperlink"/>
            <w:color w:val="0000EE"/>
            <w:u w:color="0000EE"/>
            <w:lang w:val="el" w:eastAsia="el"/>
          </w:rPr>
          <w:t>Τροποποίηση 4821/2021, Άρθρο 75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5" w:history="1">
        <w:r>
          <w:rPr>
            <w:rStyle w:val="Hyperlink"/>
            <w:color w:val="0000EE"/>
            <w:u w:color="0000EE"/>
            <w:lang w:val="el" w:eastAsia="el"/>
          </w:rPr>
          <w:t>Τροποποίηση 4821/2021, Άρθρο 75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75" w:history="1">
        <w:r>
          <w:rPr>
            <w:rStyle w:val="Hyperlink"/>
            <w:color w:val="0000EE"/>
            <w:u w:color="0000EE"/>
            <w:lang w:val="el" w:eastAsia="el"/>
          </w:rPr>
          <w:t>Τροποποίηση 4821/2021, Άρθρο 75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8" w:history="1">
        <w:r>
          <w:rPr>
            <w:rStyle w:val="Hyperlink"/>
            <w:color w:val="0000EE"/>
            <w:u w:color="0000EE"/>
            <w:lang w:val="el" w:eastAsia="el"/>
          </w:rPr>
          <w:t>Τροποποίηση 4818/2021, Άρθρο 38</w:t>
        </w:r>
      </w:hyperlink>
      <w:r>
        <w:rPr>
          <w:lang w:val="el" w:eastAsia="el"/>
        </w:rPr>
        <w:t xml:space="preserve">; </w:t>
      </w:r>
      <w:hyperlink r:id="rId75"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18/4818" TargetMode="External" /><Relationship Id="rId10" Type="http://schemas.openxmlformats.org/officeDocument/2006/relationships/hyperlink" Target="http://data.aade.gr/eli/pri/law/2021/07/18/4818"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1/07/18/4818" TargetMode="External" /><Relationship Id="rId16" Type="http://schemas.openxmlformats.org/officeDocument/2006/relationships/hyperlink" Target="http://data.aade.gr/eli/pri/law/2021/07/18/4818"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2" Type="http://schemas.openxmlformats.org/officeDocument/2006/relationships/hyperlink" Target="http://data.aade.gr/eli/pri/law/2021/07/18/4818" TargetMode="External" /><Relationship Id="rId20"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2" Type="http://schemas.openxmlformats.org/officeDocument/2006/relationships/hyperlink" Target="http://data.aade.gr/eli/pri/law/2021/07/18/4818" TargetMode="External" /><Relationship Id="rId23" Type="http://schemas.openxmlformats.org/officeDocument/2006/relationships/hyperlink" Target="http://data.aade.gr/eli/pri/law/2021/07/18/4818" TargetMode="External" /><Relationship Id="rId24" Type="http://schemas.openxmlformats.org/officeDocument/2006/relationships/hyperlink" Target="http://data.aade.gr/eli/pri/law/2021/07/18/4818"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1/07/18/4818"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1/07/18/4818" TargetMode="External" /><Relationship Id="rId40" Type="http://schemas.openxmlformats.org/officeDocument/2006/relationships/hyperlink" Target="http://data.aade.gr/eli/pri/law/2021/07/18/4818" TargetMode="External" /><Relationship Id="rId41" Type="http://schemas.openxmlformats.org/officeDocument/2006/relationships/hyperlink" Target="http://data.aade.gr/eli/pri/law/2021/07/18/4818"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1/07/18/4818" TargetMode="External" /><Relationship Id="rId45" Type="http://schemas.openxmlformats.org/officeDocument/2006/relationships/hyperlink" Target="http://data.aade.gr/eli/pri/law/2021/07/18/4818"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0/12/23/4764"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1/07/18/4818"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31/4821" TargetMode="External" /><Relationship Id="rId6" Type="http://schemas.openxmlformats.org/officeDocument/2006/relationships/hyperlink" Target="http://data.aade.gr/eli/pri/law/2021/07/18/4818" TargetMode="External" /><Relationship Id="rId60" Type="http://schemas.openxmlformats.org/officeDocument/2006/relationships/hyperlink" Target="http://data.aade.gr/eli/pri/law/2021/07/31/4821" TargetMode="External" /><Relationship Id="rId61" Type="http://schemas.openxmlformats.org/officeDocument/2006/relationships/hyperlink" Target="http://data.aade.gr/eli/pri/law/2021/07/31/4821" TargetMode="External" /><Relationship Id="rId62" Type="http://schemas.openxmlformats.org/officeDocument/2006/relationships/hyperlink" Target="http://data.aade.gr/eli/pri/law/2021/07/31/4821" TargetMode="External" /><Relationship Id="rId63" Type="http://schemas.openxmlformats.org/officeDocument/2006/relationships/hyperlink" Target="http://data.aade.gr/eli/pri/law/2021/07/31/4821" TargetMode="External" /><Relationship Id="rId64" Type="http://schemas.openxmlformats.org/officeDocument/2006/relationships/hyperlink" Target="http://data.aade.gr/eli/pri/law/2021/07/31/4821" TargetMode="External" /><Relationship Id="rId65" Type="http://schemas.openxmlformats.org/officeDocument/2006/relationships/hyperlink" Target="http://data.aade.gr/eli/pri/law/2021/07/31/4821" TargetMode="External" /><Relationship Id="rId66" Type="http://schemas.openxmlformats.org/officeDocument/2006/relationships/hyperlink" Target="http://data.aade.gr/eli/pri/law/2021/07/31/4821" TargetMode="External" /><Relationship Id="rId67" Type="http://schemas.openxmlformats.org/officeDocument/2006/relationships/hyperlink" Target="http://data.aade.gr/eli/pri/law/2021/07/31/4821" TargetMode="External" /><Relationship Id="rId68" Type="http://schemas.openxmlformats.org/officeDocument/2006/relationships/hyperlink" Target="http://data.aade.gr/eli/pri/law/2021/11/05/4850" TargetMode="External" /><Relationship Id="rId69" Type="http://schemas.openxmlformats.org/officeDocument/2006/relationships/hyperlink" Target="http://data.aade.gr/eli/pri/law/2021/07/31/4821" TargetMode="External" /><Relationship Id="rId7" Type="http://schemas.openxmlformats.org/officeDocument/2006/relationships/hyperlink" Target="http://data.aade.gr/eli/pri/law/2021/07/18/4818" TargetMode="External" /><Relationship Id="rId70" Type="http://schemas.openxmlformats.org/officeDocument/2006/relationships/hyperlink" Target="http://data.aade.gr/eli/pri/law/2021/07/31/4821" TargetMode="External" /><Relationship Id="rId71" Type="http://schemas.openxmlformats.org/officeDocument/2006/relationships/hyperlink" Target="http://data.aade.gr/eli/pri/law/2021/07/31/4821" TargetMode="External" /><Relationship Id="rId72" Type="http://schemas.openxmlformats.org/officeDocument/2006/relationships/hyperlink" Target="http://data.aade.gr/eli/pri/law/2021/07/31/4821" TargetMode="External" /><Relationship Id="rId73" Type="http://schemas.openxmlformats.org/officeDocument/2006/relationships/hyperlink" Target="http://data.aade.gr/eli/pri/law/2021/07/31/4821"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0/12/23/4764" TargetMode="External" /><Relationship Id="rId8" Type="http://schemas.openxmlformats.org/officeDocument/2006/relationships/hyperlink" Target="http://data.aade.gr/eli/pri/law/2021/07/31/4821" TargetMode="External" /><Relationship Id="rId9" Type="http://schemas.openxmlformats.org/officeDocument/2006/relationships/hyperlink" Target="http://data.aade.gr/eli/pri/law/2021/07/31/48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