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 και ως «οριστική υποβολή αίτησης», η οριστικοποίηση της υποβολής της στην Ηλεκτρονική Πλατφόρμα Εξωδικαστικής Ρύθμισης Οφειλών, σύμφωνα με τα προβλεπόμενα στην κοινή απόφαση της παρ. 4 του άρθρου 71.</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 Για την εφαρμογή του Κεφαλαίου Α' του Μέρους Δευτέρου του Βιβλίου Πρώτου, οι οφειλές υπέρ τρίτων, που υπάγονται στο πεδίο εφαρμογής του, λογίζονται ως οφειλές προς το Δημόσιο.</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Νομικό πρόσωπο ιδιωτικού δικαίου που δεν επιδιώκει οικονομικό σκοπό, αλλά ασκεί οικονομική δραστηριότητα, μπορεί να υποβάλει αίτηση για εξωδικαστική ρύθμιση οφειλών.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το σύνολο των οφειλών του προσώπου της παρ. 1 σε χρηματοδοτικούς φορείς, στο Δημόσιο και στους Φορείς Κοινωνικής Ασφάλισης δεν υπερβαίνει το ποσό των δέκα χιλιάδων (10.000) ευρώ,</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w:t>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 4978/2022 (Α' 190), οφειλές από τελωνειακούς δασμούς της Ευρωπαϊκής Ένωσης που αποτελούν έσοδό της και αποδίδονται στον ευρωπαϊκό προϋπολογισμό και οφειλές προς αλλοδαπό δημόσιο.</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pStyle w:val="MainText"/>
        <w:spacing w:before="120" w:after="0"/>
        <w:rPr>
          <w:lang w:val="el" w:eastAsia="el"/>
        </w:rPr>
      </w:pPr>
      <w:r>
        <w:rPr>
          <w:b/>
          <w:bCs/>
          <w:lang w:val="el" w:eastAsia="el"/>
        </w:rPr>
        <w:t>1.</w:t>
      </w:r>
      <w:r>
        <w:rPr>
          <w:lang w:val="el" w:eastAsia="el"/>
        </w:rPr>
        <w:t xml:space="preserve"> Η αίτηση οφειλέτη για εξωδικαστική ρύθμιση των οφειλών του περιέχει υποχρεωτικά τα εξής: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MainText"/>
        <w:spacing w:before="120" w:after="0"/>
        <w:rPr>
          <w:lang w:val="el" w:eastAsia="el"/>
        </w:rPr>
      </w:pPr>
      <w:r>
        <w:rPr>
          <w:b/>
          <w:bCs/>
          <w:lang w:val="el" w:eastAsia="el"/>
        </w:rPr>
        <w:t>2.</w:t>
      </w:r>
      <w:r>
        <w:rPr>
          <w:lang w:val="el" w:eastAsia="el"/>
        </w:rPr>
        <w:t xml:space="preserve"> Με την αίτηση του παρόντος, ο οφειλέτης δύναται να ζητά να διατηρηθεί στο ακέραιο ενήμερη ή ήδη ρυθμισμένη και ενήμερη οφειλή του προς χρηματοδοτικό φορέα και να ρυθμισθούν οι υπόλοιπες οφειλές του βάσει της πρότασης αναδιάρθρωσης που προκύπτει από το υπολογιστικό εργαλείο της περ. ζ' της παρ. 2 ή της παρ. 2Α του άρθρου 71. Προϋπόθεση για την εξαίρεση ενήμερης ή ήδη ρυθμισμένης και ενήμερης οφειλής από τη ρύθμιση που προκύπτει, κατά το πρώτο εδάφιο, είναι οι δόσεις του συνόλου των ενήμερων ή ρυθμισμένων και ενήμερων οφειλών του να μην αποκλίνουν σε ποσοστό μεγαλύτερο του δεκαπέντε τοις εκατό (15%) από τη δόση που προκύπτει για αυτές από το υπολογιστικό εργαλείο της περ. ζ' της παρ. 2 του άρθρου 71 ή της παρ. 2Α του άρθρου 71. Στην περίπτωση υπογραφής σύμβασης αναδιάρθρωσης, ο πιστωτής του δεύτερου εδαφίου δεν θεωρείται καταλαμβανόμενος πιστωτής για τη συγκεκριμένη οφειλή και η ψήφος του δεν προσμετράται για τον υπολογισμό της πλειοψηφίας της παρ. 1 του άρθρου 14.</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1. Η οριστική υποβολή της αίτησης αναστέλλει τη διαδικασία του Κώδικα Δεοντολογίας Τραπεζών,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οριστική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Οι συμμετέχοντες πιστωτές, που είναι χρηματοδοτικοί φορείς, καθώς και ο οφειλέτης, αιτιολογούν την καθ’ οιονδήποτε τρόπο μη συναίνεσή τους σε πρόταση ρύθμισης που προέκυψε από το υπολογιστικό εργαλείο της περ. ζ' της παρ. 2 του άρθρου 71 ή της παρ. 2Α του άρθρου 71. Για τον λόγο αυτόν, η Ελληνική Ένωση Τραπεζών και η Ένωση Εταιρειών Διαχείρισης Απαιτήσεων από Δάνεια και Πιστώσεις, εντός δεκαπέντε (15) ημερών από την έναρξη ισχύος της παρούσας, υποχρεούνται να αποστείλουν στην Ειδική Γραμματεία Διαχείρισης Ιδιωτικού Χρέους (ΕΓΔΙΧ) επιστολή, με την οποία προσδιορίζουν τους λόγους μη συναίνεσης σε πρόταση ρύθμισης, οι οποίοι αναρτώνται στην ηλεκτρονική πλατφόρμα από την ΕΓΔΙΧ. Οι χρηματοδοτικοί φορείς μπορούν να μεταβάλλουν τους λόγους μη συναίνεσης, όποτε αυτό είναι αναγκαίο. Οι εκάστοτε νέοι λόγοι μη συναίνεσης γνωστοποιούνται στην ΕΓΔΙΧ με επιστολή των ανωτέρω, αναρτώνται από αυτή στην ηλεκτρονική πλατφόρμα και ισχύουν μετά την παρέλευση πέντε (5) ημερών από την ως άνω γνωστοποίηση. Ομοίως, ο οφειλέτης επιλέγει την αιτιολογία μη συναίνεσής του σε πρόταση ρύθμισης από τους αναρτημένους στην ηλεκτρονική πλατφόρμα ή συμπληρώνει την αιτιολογία, προκειμένου να απορρίψει την πρόταση ρύθμισης. Τεκμαίρεται η συναίνεση, σύμφωνα με το έβδομο εδάφιο, πιστωτή, που είναι χρηματοδοτικός φορέας, για τον οποίον προκύπτει μηδενικό ποσό ανάκτησης, σύμφωνα με την αρχή της μη χειροτέρευσης, από το υπολογιστικό εργαλείο της περ. ζ' της παρ. 2 ή της παρ. 2Α του άρθρου 71, εφόσον το παραπάνω υπολογιστικό εργαλείο διασφαλίζει για τον πιστωτή την καταβολή ποσού που δεν υπολείπεται του ελάχιστου ποσού ανάκτησης οφειλής, όπως αυτό προκύπτει από την κοινή απόφαση της παρ. 5 του άρθρου 71. Πιστωτής, η συναίνεση του οποίου τεκμαίρεται κατά το όγδοο εδάφιο, δεν υπογράφει τη σύμβαση αναδιάρθρωσης, αλλά θεωρείται καταλαμβανόμενος πιστωτής, ως προς τον οποίο επέρχονται τα αποτελέσματα του άρθρου 19.</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Στις περιπτώσεις περαίωσης της διαδικασίας εξωδικαστικής ρύθμισης ως άκαρπης σύμφωνα με το άρθρο 16 και κατάρτισης διμερούς σύμβασης αναδιάρθρωσης οφειλών, σύμφωνα με το άρθρο 24, σε σχέση με τις οφειλές προς τους χρηματοδοτικούς φορείς, ο οφειλέτης δύναται, εντός δέκα (10) ημερολογιακών ημερών από την άνω περαίωση της διαδικασίας, να καταθέσει αίτημα υποβολής σε διαμεσολάβηση. Εφόσον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Σε κάθε άλλη περίπτωση την ευθύνη αναλαμβάνει διαπιστευμένος μεσολαβητής, ο οποίος διαθέτει επιπλέον έγγραφο ότι έχει ολοκληρώσει ειδική εκπαίδευση σε χρηματοοικονομική διαμεσολάβηση. Σε περίπτωση που, παρά την παρέλευση εξήντα (60) ημερών από την ημερομηνία υποβολής του αιτήματος, δεν έχει επιτευχθεί η υπογραφή συμφωνίας αναδιάρθρωσης μεταξύ των πιστωτών και του οφειλέτη, τότε η διαδικασία θεωρείται λήξασα.</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spacing w:before="240" w:after="240"/>
        <w:rPr>
          <w:lang w:val="el" w:eastAsia="el"/>
        </w:rPr>
      </w:pPr>
      <w:r>
        <w:rPr>
          <w:lang w:val="el" w:eastAsia="el"/>
        </w:rPr>
        <w:t>Αν δεν υπογραφεί η σύμβαση αναδιάρθρωσης οφειλών εντός δύο (2) μηνών από την ημερομηνία οριστικής υποβολής της αίτησης, η διαδικασία θεωρείται περατωθείσα ως άκαρπη.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και της αιτιολογίας αυτής, η διαδικασία εξωδικαστικής ρύθμισης περαιώνεται άμεσα ως άκαρπη.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οριστική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οριστικής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τρόπον απόρριψη της αίτησης.</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(i) και (ii) της περ. β' της παρ. 2, είναι σύννομη, εφόσον η προτεινόμενη σύμβαση έχει εξασφαλίσει τις συναινέσεις της παρ. 1 του άρθρου 14 και επιπλέον ικανοποιούνται οι προϋποθέσεις του άρθρου 22.</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 Η διαγραφή οφειλών βεβαιωμένων στη Φορολογική Διοίκηση, συμπεριλαμβανομένων των οφειλών υπέρ τρίτων, γίνεται από τη Φορολογική Διοίκηση.</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Ν. 4174/2013 (Α΄ 170) (Κώδικας Φορολογικής Διαδικασίας), και του άρθρου 6 του Κ.Ε.Δ.Ε. 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71, αντιστοιχούν στις δόσεις της ρύθμισης που προεξοφλούνται.</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δ. Η διαγραφή βασικής οφειλής παρακρατουμένων φόρων, επιρριπτομένων φόρων προς το Δημόσιο και ασφαλιστικών εισφορών απαγορεύεται.</w:t>
      </w:r>
    </w:p>
    <w:p>
      <w:pPr>
        <w:spacing w:before="240" w:after="240"/>
        <w:rPr>
          <w:lang w:val="el" w:eastAsia="el"/>
        </w:rPr>
      </w:pPr>
      <w:r>
        <w:rPr>
          <w:lang w:val="el" w:eastAsia="el"/>
        </w:rPr>
        <w:t>ε. Η διαγραφή βασικής οφειλής προς φορείς κοινωνικής ασφάλισης δεν επηρεάζει τα ασφαλιστικά δικαιώματα τρίτων.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έχει εξοφληθεί τουλάχιστον η πρώτη δόση της ρύθμισης δυνάμει αυτής,</w:t>
      </w:r>
    </w:p>
    <w:p>
      <w:pPr>
        <w:pStyle w:val="StructureList1"/>
        <w:spacing w:before="120" w:after="0"/>
        <w:rPr>
          <w:lang w:val="el" w:eastAsia="el"/>
        </w:rPr>
      </w:pPr>
      <w:r>
        <w:rPr>
          <w:lang w:val="el" w:eastAsia="el"/>
        </w:rPr>
        <w:t>β)</w:t>
      </w:r>
      <w:r>
        <w:rPr>
          <w:lang w:val="en" w:eastAsia="en"/>
        </w:rPr>
        <w:tab/>
      </w:r>
      <w:r>
        <w:rPr>
          <w:lang w:val="el" w:eastAsia="el"/>
        </w:rPr>
        <w:t>έχουν εξοφληθεί ή τακτοποιηθεί με νόμιμο τρόπο, με αναστολή είσπραξης ή ρύθμιση τμηματικής καταβολής οι μη υπαγόμενες στη σύμβαση οφειλές και</w:t>
      </w:r>
    </w:p>
    <w:p>
      <w:pPr>
        <w:pStyle w:val="StructureList1"/>
        <w:spacing w:before="120" w:after="0"/>
        <w:rPr>
          <w:lang w:val="el" w:eastAsia="el"/>
        </w:rPr>
      </w:pPr>
      <w:r>
        <w:rPr>
          <w:lang w:val="el" w:eastAsia="el"/>
        </w:rPr>
        <w:t>γ)</w:t>
      </w:r>
      <w:r>
        <w:rPr>
          <w:lang w:val="en" w:eastAsia="en"/>
        </w:rPr>
        <w:tab/>
      </w:r>
      <w:r>
        <w:rPr>
          <w:lang w:val="el" w:eastAsia="el"/>
        </w:rPr>
        <w:t>έχουν υποβληθεί οι προβλεπόμενες δηλώσεις φορολογίας εισοδήματος και φόρου προστιθέμενης αξίας,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pStyle w:val="MainText"/>
        <w:spacing w:before="120" w:after="0"/>
        <w:rPr>
          <w:lang w:val="el" w:eastAsia="el"/>
        </w:rPr>
      </w:pPr>
      <w:r>
        <w:rPr>
          <w:b/>
          <w:bCs/>
          <w:lang w:val="el" w:eastAsia="el"/>
        </w:rPr>
        <w:t>1.</w:t>
      </w:r>
      <w:r>
        <w:rPr>
          <w:lang w:val="el" w:eastAsia="el"/>
        </w:rPr>
        <w:t xml:space="preserve"> 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MainText"/>
        <w:spacing w:before="120" w:after="0"/>
        <w:rPr>
          <w:lang w:val="el" w:eastAsia="el"/>
        </w:rPr>
      </w:pPr>
      <w:r>
        <w:rPr>
          <w:b/>
          <w:bCs/>
          <w:lang w:val="el" w:eastAsia="el"/>
        </w:rPr>
        <w:t>2.</w:t>
      </w:r>
      <w:r>
        <w:rPr>
          <w:lang w:val="el" w:eastAsia="el"/>
        </w:rPr>
        <w:t xml:space="preserve"> Μέσω της ηλεκτρονικής πλατφόρμας του παρόντος, κάθε φυσικό ή νομικό πρόσωπο δύναται να αιτηθεί τη χορήγηση της βεβαίωσης για τις χρηματικές οφειλές του προς χρηματοδοτικούς φορείς, το Δημόσιο και τους Φορείς Κοινωνικής Ασφάλισης, για κάθε νόμιμη χρήση. Η βεβαίωση εκδίδεται από την ηλεκτρονική πλατφόρμα.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Με την αίτηση παρέχεται από τον αιτούντα άδεια για την άρση του απορρήτου των τραπεζικών καταθέσεων του άρθρου 1 του ν.δ. 1059/1971 (Α' 270) και του φορολογικού απορρήτου του άρθρου 17 του ν. 4987/2022 (Α' 206).</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τραπεζών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Μέρους Δευτέρου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MainText"/>
        <w:spacing w:before="120" w:after="0"/>
        <w:rPr>
          <w:lang w:val="el" w:eastAsia="el"/>
        </w:rPr>
      </w:pPr>
      <w:r>
        <w:rPr>
          <w:b/>
          <w:bCs/>
          <w:lang w:val="el" w:eastAsia="el"/>
        </w:rPr>
        <w:t>5.</w:t>
      </w:r>
      <w:r>
        <w:rPr>
          <w:lang w:val="el" w:eastAsia="el"/>
        </w:rPr>
        <w:t xml:space="preserve"> Εντός αποκλειστικής προθεσμίας δύο (2) μηνών από την έναρξη ισχύος του παρόντος, επιτρέπεται η υποβολή νέας αίτησης για υπαγωγή στη διαδικασία εξωδικαστικής ρύθμισης οφειλών υπέρ τρίτων, ακόμα και εάν δεν έχουν παρέλθει δώδεκα (12) μήνες από τη με οποιονδήποτε τρόπον ολοκλήρωση της διαδικασίας του Κεφαλαίου Α' που είχε εκκινήσει με την αρχική αίτηση. Με τη νέα αίτηση δύναται να ζητείται να ρυθμισθούν οφειλές προς το Δημόσιο και Φορείς Κοινωνικής Ασφάλισης που βεβαιώθηκαν μέχρι την υποβολή της ή που τροποποιήθηκαν για οποιονδήποτε λόγο. Οι ρυθμίσεις που έχουν επιτευχθεί με συμβάσεις αναδιάρθρωσης στο πλαίσιο της αρχικής αίτησης διατηρούνται στο ακέραιο, εκτός και αν έχουν τροποποιηθεί οι βεβαιωμένες οφειλές που ρυθμίστηκαν με τη σύμβαση αναδιάρθρωσης, οπότε και υπολογίζονται εκ νέου από το υπολογιστικό εργαλείο του άρθρου 71. Εάν μετά την υποβολή της νέας αίτησης προκύψει από τα καταχωριζόμενα στην πλατφόρμα στοιχεία ότι δεν υπάρχουν οι κατά τα ανωτέρω οφειλές που δικαιολογούν την υποβολή της, αυτή αυτοδίκαια θεωρείται ως ουδέποτε υποβληθείσα. Αν η διαδικασία του παρόντος Κεφαλαίου δεν έχει ολοκληρωθεί, με την οριστική υποβολή της νέας αίτησης, ακυρώνεται η αρχική αίτηση του οφειλέτη, προκειμένου να συμπεριληφθεί το σύνολο των οφειλών του προς το Δημόσιο και τους Φορείς Κοινωνικής Ασφάλισης.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6.</w:t>
      </w:r>
      <w:r>
        <w:rPr>
          <w:lang w:val="el" w:eastAsia="el"/>
        </w:rPr>
        <w:t xml:space="preserve"> Εντός αποκλειστικής προθεσμίας δύο (2) μηνών από την έναρξη ισχύος του παρόντος, επιτρέπεται η υποβολή αίτησης για υπαγωγή στη διαδικασία εξωδικαστικής ρύθμισης οφειλών του Κεφαλαίου Α' σε οφειλέτες που δεν είχαν παραιτηθεί από τη διαδικασία του ν. 4469/2017 (Α' 62), χωρίς να υπαχθούν στον νόμο αυτόν, ή είχαν υποβάλει αίτηση για υπαγωγή στη διαδικασία του ν. 4469/2017 και για οποιοδήποτε λόγο δεν έχει επιτευχθεί σύμβαση αναδιάρθρωσης οφειλών.</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`Αλλως,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ένα από τα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δεκαπέντε (15) τουλάχιστον ημέρες πριν από την ορισθείσα δικάσιμο,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εάν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καθώς και την καταχώρησή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Κώδικας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w:t>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w:t>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 θάνατο.</w:t>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αφαιρουμένων των φόρων και των εισφορών κοινωνικής ασφάλισης που υπερβαίνει το ποσό των ετήσιων ευλόγων δαπανών διαβίωσης ή του δωδεκαπλάσιου του ακατάσχετου σύμφωνα με την παρ.5, όποιο είναι υψηλότερο εκ των δύο. Οι εύλογες δαπάνες διαβίωσης προσδιορίζονται σύμφωνα με την παρ. 2 του άρθρου 73 του Ν.4389/2016 (Α΄ 94).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 3, ισχύει μέχρι την πώληση του υπέγγυου στοιχείου μέσω πλειστηριασμού ή μέχρι την ανατροπή της κατάσχεσης.</w:t>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Ο εισηγητής υποβάλλει εισήγηση προς το πτωχευτικό δικαστήριο ως προς την αποδοχή ή μη της αίτησης μετά τη συζήτηση της υπόθεσης.</w:t>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μπορούν να εκποιούνται από κοινού.</w:t>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τη μέση τιμή των εκτιμήσεων των πιστοποιημένων εκτιμητών της παρ. 4 του άρθρου 162, εκποιούνται ως μία ή περισσότερες ομάδες πραγμάτων, όπως προβλέπεται στα άρθρα 162 έως και 164.</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Σε περίπτωση που εντός του χρονικού διαστήματος της παρούσας δεν υποβληθεί παρέμβαση κατά της αίτησης ή υποβληθεί παρέμβαση που αφορά μόνο 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καταχώρησης του άρθρου 178.</w:t>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αίτησης πτώχευσης επιδίδεται, εντός δέκα (10) εργασίμων ημερών, με φροντίδα του διαδίκου που επισπεύδει τη διαδικασία, στα λοιπά διάδικα μέρη.</w:t>
      </w:r>
    </w:p>
    <w:p>
      <w:pPr>
        <w:pStyle w:val="MainText"/>
        <w:spacing w:before="120" w:after="0"/>
        <w:rPr>
          <w:lang w:val="el" w:eastAsia="el"/>
        </w:rPr>
      </w:pPr>
      <w:r>
        <w:rPr>
          <w:b/>
          <w:bCs/>
          <w:lang w:val="el" w:eastAsia="el"/>
        </w:rPr>
        <w:t>3.</w:t>
      </w:r>
      <w:r>
        <w:rPr>
          <w:lang w:val="el" w:eastAsia="el"/>
        </w:rPr>
        <w:t xml:space="preserve"> Εντός προθεσμίας εξήντα (60) ημερών από την κατάθεση της αίτησης πτώχευσης, τα διάδικα μέρη οφείλουν να καταθέσουν ενώπιον του αρμόδιου δικαστηρίου τις προτάσεις τους και το σύνολο των αποδεικτικών εγγράφων.</w:t>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Εφόσον, σύμφωνα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πέραν των ευλόγων δαπανών διαβίωσης, δεν υπερβαίνουν τις εύλογες δαπάνες διαβίωσης της παρ. 5 του άρθρου 92, δεν διορίζεται σύνδικος και ο εισηγητής διατάσσει την καταχώρηση του ονόματος ή της επωνυμίας του οφειλέτη στο Ηλεκτρονικό Μητρώο Φερεγγυότητας του άρθρου 213 και επέρχονται οι συνέπειες της καταχώρησης της παρ. 4 του άρθρου 77. Την ανεπάρκεια της παρούσας μπορεί να αναδείξει με παρέμβασή του και πιστωτής. Για τη διαπίστωσή της από τον εισηγητή δεν απαιτείται σχετική παρέμβαση.</w:t>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 και προσδιορίζει την ημέρα παύσης πληρωμών.</w:t>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του άρθρου 156.Κατά της πράξης αυτής του εισηγητή επιτρέπεται, εντός δέκα (10) ημερών, προσφυγή ενώπιον του πτωχευτικού δικαστηρίου, το οποίο αποφαίνεται αμετάκλητα.</w:t>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w:t>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151 και η παρ. 1 του άρθρου 133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Εάν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1του άρθρου 192.</w:t>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(σε περίπτωση χρεών προς το Δημόσιο κρίσιμος χρόνος είναι ο χρόνος στον οποίο ανάγεται η υποχρέωση και όχι ο χρόνος δημιουργίας του νόμιμου τίτλου) και οφειλές από δόλο ή βαρεία αμέλεια που προκάλεσε θάνατο ή σωματική βλάβη προσώπου, οφειλές από τα αδικήματα του Ν. 4557/2018 (Α΄ 139) και οφειλές διατροφής.</w:t>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7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78"/>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βα)</w:t>
      </w:r>
      <w:r>
        <w:rPr>
          <w:lang w:val="en" w:eastAsia="en"/>
        </w:rPr>
        <w:tab/>
      </w:r>
      <w:r>
        <w:rPr>
          <w:lang w:val="el" w:eastAsia="el"/>
        </w:rPr>
        <w:t>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1ης.3.2020 έως 31.7.2021.</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Επιπλέον, εντάσσονται στη ρύθμιση ανεξαρτήτως των ανωτέρω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Κατ’ εξαίρεση, εφόσον πρόκειται για οφειλέτες της περ. α), στους οποίους επιβλήθηκε το μέτρο της προσωρινής απαγόρευσης λειτουργίας οποτεδήποτε κατά το χρονικό διάστημα από 27.10.2020 έως 31.7.2021, επιτρέπεται να εντάσσονται στη ρύθμιση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την έναρξη ισχύος του παρόντος σε καθεστώς ρύθμισης της υποπαρ. Α2 της παρ. Α του πρώτου άρθρου του ν. 4152/ 2013 (Α’ 107), υπό τον όρο ότι η ρύθμιση αυτή βρίσκεται σε ισχύ κατά την έναρξη ισχύος του παρόντος. Για τη δόση Οκτωβρίου των ρυθμίσεων της υποπαρ. Α2 της παρ. Α του πρώτου άρθρου του ν. 4152/2013, που εμπίπτουν στο πεδίο εφαρμογής του προηγούμενου εδαφίου, ως καταληκτική ημερομηνία καταβολής ορίζεται η 15η Νοεμβρίου 2021.</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1Α.</w:t>
      </w:r>
      <w:r>
        <w:rPr>
          <w:lang w:val="el" w:eastAsia="el"/>
        </w:rPr>
        <w:t xml:space="preserve"> Στις οφειλές της παρ. 1 δεν περιλαμβάνεται ο φόρος εισοδήματος φορολογικού έτους 2020.</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την 28η Φεβρουαρίου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 4978/2022, Α'190,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(Α'143)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α.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έχουν καταστεί ληξιπρόθεσμα στα πιστωτικά ιδρύματα έως την 1η Φεβρουαρίου 2023,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 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β. Οι οφειλές από τις άνω αιτίες που έχουν καταχωρισθεί στα βιβλία εισπρακτέων εσόδων της Φορολογικής Διοίκησης πριν την 1η Φεβρουαρίου 2023 και δεν έχουν υπαχθεί στις ρυθμίσεις του παρόντος, συμπεριλαμβανομένων αυτών που έχουν ενταχθεί στη ρύθμιση του ν. 4152/2013 (Α'107), δύνανται να υπαχθούν στις ρυθμίσεις του παρόντος μέχρι την 1η Αυγούστου 2023 κατόπιν αίτησης στην αρμόδια υπηρεσία της Φορολογικής Διοίκησης για την επιδίωξη της είσπραξης της οφειλής.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5024/2023,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Προσθήκη 5024/2023,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Προσθήκη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Τροποποίηση 5024/2023,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5024/2023,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Αφαίρεση 5024/2023,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5024/2023,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Προσθήκη 5024/2023,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4" w:history="1">
        <w:r>
          <w:rPr>
            <w:rStyle w:val="Hyperlink"/>
            <w:color w:val="0000EE"/>
            <w:u w:color="0000EE"/>
            <w:lang w:val="el" w:eastAsia="el"/>
          </w:rPr>
          <w:t>Τροποποίηση 4818/2021, Άρθρο 34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Τροποποίηση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Τροποποίηση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Τροποποίηση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Τροποποίηση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0" w:history="1">
        <w:r>
          <w:rPr>
            <w:rStyle w:val="Hyperlink"/>
            <w:color w:val="0000EE"/>
            <w:u w:color="0000EE"/>
            <w:lang w:val="el" w:eastAsia="el"/>
          </w:rPr>
          <w:t>Τροποποίηση 5024/2023, Άρθρο 40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Τροποποίηση 5024/2023, Άρθρο 40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4" w:history="1">
        <w:r>
          <w:rPr>
            <w:rStyle w:val="Hyperlink"/>
            <w:color w:val="0000EE"/>
            <w:u w:color="0000EE"/>
            <w:lang w:val="el" w:eastAsia="el"/>
          </w:rPr>
          <w:t>Τροποποίηση 4818/2021, Άρθρο 34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0" w:history="1">
        <w:r>
          <w:rPr>
            <w:rStyle w:val="Hyperlink"/>
            <w:color w:val="0000EE"/>
            <w:u w:color="0000EE"/>
            <w:lang w:val="el" w:eastAsia="el"/>
          </w:rPr>
          <w:t>Τροποποίηση 5024/2023, Άρθρο 40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0" w:history="1">
        <w:r>
          <w:rPr>
            <w:rStyle w:val="Hyperlink"/>
            <w:color w:val="0000EE"/>
            <w:u w:color="0000EE"/>
            <w:lang w:val="el" w:eastAsia="el"/>
          </w:rPr>
          <w:t>Τροποποίηση 5024/2023, Άρθρο 40</w:t>
        </w:r>
      </w:hyperlink>
      <w:r>
        <w:rPr>
          <w:lang w:val="el" w:eastAsia="el"/>
        </w:rPr>
        <w:t xml:space="preserve">; </w:t>
      </w:r>
      <w:hyperlink r:id="rId19" w:anchor="art_84" w:history="1">
        <w:r>
          <w:rPr>
            <w:rStyle w:val="Hyperlink"/>
            <w:color w:val="0000EE"/>
            <w:u w:color="0000EE"/>
            <w:lang w:val="el" w:eastAsia="el"/>
          </w:rPr>
          <w:t>Τροποποίηση 4821/2021, Άρθρο 84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1" w:history="1">
        <w:r>
          <w:rPr>
            <w:rStyle w:val="Hyperlink"/>
            <w:color w:val="0000EE"/>
            <w:u w:color="0000EE"/>
            <w:lang w:val="el" w:eastAsia="el"/>
          </w:rPr>
          <w:t>Τροποποίηση 5024/2023, Άρθρο 41</w:t>
        </w:r>
      </w:hyperlink>
      <w:r>
        <w:rPr>
          <w:lang w:val="el" w:eastAsia="el"/>
        </w:rPr>
        <w:t xml:space="preserve">; </w:t>
      </w:r>
      <w:hyperlink r:id="rId21" w:anchor="art_84" w:history="1">
        <w:r>
          <w:rPr>
            <w:rStyle w:val="Hyperlink"/>
            <w:color w:val="0000EE"/>
            <w:u w:color="0000EE"/>
            <w:lang w:val="el" w:eastAsia="el"/>
          </w:rPr>
          <w:t>Τροποποίηση 4821/2021, Άρθρο 84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1" w:history="1">
        <w:r>
          <w:rPr>
            <w:rStyle w:val="Hyperlink"/>
            <w:color w:val="0000EE"/>
            <w:u w:color="0000EE"/>
            <w:lang w:val="el" w:eastAsia="el"/>
          </w:rPr>
          <w:t>Τροποποίηση 5024/2023, Άρθρο 41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2" w:history="1">
        <w:r>
          <w:rPr>
            <w:rStyle w:val="Hyperlink"/>
            <w:color w:val="0000EE"/>
            <w:u w:color="0000EE"/>
            <w:lang w:val="el" w:eastAsia="el"/>
          </w:rPr>
          <w:t>Τροποποίηση 5024/2023, Άρθρο 42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4" w:history="1">
        <w:r>
          <w:rPr>
            <w:rStyle w:val="Hyperlink"/>
            <w:color w:val="0000EE"/>
            <w:u w:color="0000EE"/>
            <w:lang w:val="el" w:eastAsia="el"/>
          </w:rPr>
          <w:t>Προσθήκη 4818/2021, Άρθρο 34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4" w:history="1">
        <w:r>
          <w:rPr>
            <w:rStyle w:val="Hyperlink"/>
            <w:color w:val="0000EE"/>
            <w:u w:color="0000EE"/>
            <w:lang w:val="el" w:eastAsia="el"/>
          </w:rPr>
          <w:t>Προσθήκη 4818/2021, Άρθρο 34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4" w:history="1">
        <w:r>
          <w:rPr>
            <w:rStyle w:val="Hyperlink"/>
            <w:color w:val="0000EE"/>
            <w:u w:color="0000EE"/>
            <w:lang w:val="el" w:eastAsia="el"/>
          </w:rPr>
          <w:t>Προσθήκη 4818/2021, Άρθρο 34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4" w:history="1">
        <w:r>
          <w:rPr>
            <w:rStyle w:val="Hyperlink"/>
            <w:color w:val="0000EE"/>
            <w:u w:color="0000EE"/>
            <w:lang w:val="el" w:eastAsia="el"/>
          </w:rPr>
          <w:t>Προσθήκη 4818/2021, Άρθρο 34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4" w:history="1">
        <w:r>
          <w:rPr>
            <w:rStyle w:val="Hyperlink"/>
            <w:color w:val="0000EE"/>
            <w:u w:color="0000EE"/>
            <w:lang w:val="el" w:eastAsia="el"/>
          </w:rPr>
          <w:t>Προσθήκη 4818/2021, Άρθρο 34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4" w:history="1">
        <w:r>
          <w:rPr>
            <w:rStyle w:val="Hyperlink"/>
            <w:color w:val="0000EE"/>
            <w:u w:color="0000EE"/>
            <w:lang w:val="el" w:eastAsia="el"/>
          </w:rPr>
          <w:t>Προσθήκη 4818/2021,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4" w:history="1">
        <w:r>
          <w:rPr>
            <w:rStyle w:val="Hyperlink"/>
            <w:color w:val="0000EE"/>
            <w:u w:color="0000EE"/>
            <w:lang w:val="el" w:eastAsia="el"/>
          </w:rPr>
          <w:t>Προσθήκη 4818/2021, Άρθρο 34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Προσθήκη 4818/2021,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2" w:history="1">
        <w:r>
          <w:rPr>
            <w:rStyle w:val="Hyperlink"/>
            <w:color w:val="0000EE"/>
            <w:u w:color="0000EE"/>
            <w:lang w:val="el" w:eastAsia="el"/>
          </w:rPr>
          <w:t>Προσθήκη 5024/2023, Άρθρο 42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2" w:history="1">
        <w:r>
          <w:rPr>
            <w:rStyle w:val="Hyperlink"/>
            <w:color w:val="0000EE"/>
            <w:u w:color="0000EE"/>
            <w:lang w:val="el" w:eastAsia="el"/>
          </w:rPr>
          <w:t>Προσθήκη 5024/2023,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4" w:history="1">
        <w:r>
          <w:rPr>
            <w:rStyle w:val="Hyperlink"/>
            <w:color w:val="0000EE"/>
            <w:u w:color="0000EE"/>
            <w:lang w:val="el" w:eastAsia="el"/>
          </w:rPr>
          <w:t>Τροποποίηση 4818/2021, Άρθρο 34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2" w:history="1">
        <w:r>
          <w:rPr>
            <w:rStyle w:val="Hyperlink"/>
            <w:color w:val="0000EE"/>
            <w:u w:color="0000EE"/>
            <w:lang w:val="el" w:eastAsia="el"/>
          </w:rPr>
          <w:t>Αφαίρεση 5024/2023,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Τροποποίηση 4818/2021, Άρθρο 34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Τροποποίηση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Τροποποίηση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4818/2021,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Προσθήκη 5024/2023,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5024/2023, Άρθρο 43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4" w:history="1">
        <w:r>
          <w:rPr>
            <w:rStyle w:val="Hyperlink"/>
            <w:color w:val="0000EE"/>
            <w:u w:color="0000EE"/>
            <w:lang w:val="el" w:eastAsia="el"/>
          </w:rPr>
          <w:t>Προσθήκη 4818/2021, Άρθρο 34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Τροποποίηση 4818/2021, Άρθρο 34</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4" w:history="1">
        <w:r>
          <w:rPr>
            <w:rStyle w:val="Hyperlink"/>
            <w:color w:val="0000EE"/>
            <w:u w:color="0000EE"/>
            <w:lang w:val="el" w:eastAsia="el"/>
          </w:rPr>
          <w:t>Τροποποίηση 4818/2021, Άρθρο 34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4" w:history="1">
        <w:r>
          <w:rPr>
            <w:rStyle w:val="Hyperlink"/>
            <w:color w:val="0000EE"/>
            <w:u w:color="0000EE"/>
            <w:lang w:val="el" w:eastAsia="el"/>
          </w:rPr>
          <w:t>Τροποποίηση 4818/2021, Άρθρο 34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4" w:history="1">
        <w:r>
          <w:rPr>
            <w:rStyle w:val="Hyperlink"/>
            <w:color w:val="0000EE"/>
            <w:u w:color="0000EE"/>
            <w:lang w:val="el" w:eastAsia="el"/>
          </w:rPr>
          <w:t>Τροποποίηση 4818/2021, Άρθρο 34</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4" w:history="1">
        <w:r>
          <w:rPr>
            <w:rStyle w:val="Hyperlink"/>
            <w:color w:val="0000EE"/>
            <w:u w:color="0000EE"/>
            <w:lang w:val="el" w:eastAsia="el"/>
          </w:rPr>
          <w:t>Τροποποίηση 4818/2021, Άρθρο 34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4" w:history="1">
        <w:r>
          <w:rPr>
            <w:rStyle w:val="Hyperlink"/>
            <w:color w:val="0000EE"/>
            <w:u w:color="0000EE"/>
            <w:lang w:val="el" w:eastAsia="el"/>
          </w:rPr>
          <w:t>Τροποποίηση 4818/2021, Άρθρο 34</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4" w:history="1">
        <w:r>
          <w:rPr>
            <w:rStyle w:val="Hyperlink"/>
            <w:color w:val="0000EE"/>
            <w:u w:color="0000EE"/>
            <w:lang w:val="el" w:eastAsia="el"/>
          </w:rPr>
          <w:t>Τροποποίηση 4818/2021, Άρθρο 34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4" w:history="1">
        <w:r>
          <w:rPr>
            <w:rStyle w:val="Hyperlink"/>
            <w:color w:val="0000EE"/>
            <w:u w:color="0000EE"/>
            <w:lang w:val="el" w:eastAsia="el"/>
          </w:rPr>
          <w:t>Τροποποίηση 4818/2021, Άρθρο 34</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4" w:history="1">
        <w:r>
          <w:rPr>
            <w:rStyle w:val="Hyperlink"/>
            <w:color w:val="0000EE"/>
            <w:u w:color="0000EE"/>
            <w:lang w:val="el" w:eastAsia="el"/>
          </w:rPr>
          <w:t>Τροποποίηση 4818/2021, Άρθρο 34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4" w:history="1">
        <w:r>
          <w:rPr>
            <w:rStyle w:val="Hyperlink"/>
            <w:color w:val="0000EE"/>
            <w:u w:color="0000EE"/>
            <w:lang w:val="el" w:eastAsia="el"/>
          </w:rPr>
          <w:t>Τροποποίηση 4818/2021, Άρθρο 34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4" w:history="1">
        <w:r>
          <w:rPr>
            <w:rStyle w:val="Hyperlink"/>
            <w:color w:val="0000EE"/>
            <w:u w:color="0000EE"/>
            <w:lang w:val="el" w:eastAsia="el"/>
          </w:rPr>
          <w:t>Τροποποίηση 4818/2021, Άρθρο 34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4" w:history="1">
        <w:r>
          <w:rPr>
            <w:rStyle w:val="Hyperlink"/>
            <w:color w:val="0000EE"/>
            <w:u w:color="0000EE"/>
            <w:lang w:val="el" w:eastAsia="el"/>
          </w:rPr>
          <w:t>Τροποποίηση 4818/2021, Άρθρο 34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4" w:history="1">
        <w:r>
          <w:rPr>
            <w:rStyle w:val="Hyperlink"/>
            <w:color w:val="0000EE"/>
            <w:u w:color="0000EE"/>
            <w:lang w:val="el" w:eastAsia="el"/>
          </w:rPr>
          <w:t>Τροποποίηση 4818/2021, Άρθρο 34</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4" w:history="1">
        <w:r>
          <w:rPr>
            <w:rStyle w:val="Hyperlink"/>
            <w:color w:val="0000EE"/>
            <w:u w:color="0000EE"/>
            <w:lang w:val="el" w:eastAsia="el"/>
          </w:rPr>
          <w:t>Τροποποίηση 4818/2021, Άρθρο 34</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4" w:history="1">
        <w:r>
          <w:rPr>
            <w:rStyle w:val="Hyperlink"/>
            <w:color w:val="0000EE"/>
            <w:u w:color="0000EE"/>
            <w:lang w:val="el" w:eastAsia="el"/>
          </w:rPr>
          <w:t>Τροποποίηση 4818/2021, Άρθρο 34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4" w:history="1">
        <w:r>
          <w:rPr>
            <w:rStyle w:val="Hyperlink"/>
            <w:color w:val="0000EE"/>
            <w:u w:color="0000EE"/>
            <w:lang w:val="el" w:eastAsia="el"/>
          </w:rPr>
          <w:t>Τροποποίηση 4818/2021, Άρθρο 34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4" w:history="1">
        <w:r>
          <w:rPr>
            <w:rStyle w:val="Hyperlink"/>
            <w:color w:val="0000EE"/>
            <w:u w:color="0000EE"/>
            <w:lang w:val="el" w:eastAsia="el"/>
          </w:rPr>
          <w:t>Προσθήκη 4818/2021, Άρθρο 34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4" w:history="1">
        <w:r>
          <w:rPr>
            <w:rStyle w:val="Hyperlink"/>
            <w:color w:val="0000EE"/>
            <w:u w:color="0000EE"/>
            <w:lang w:val="el" w:eastAsia="el"/>
          </w:rPr>
          <w:t>Τροποποίηση 4818/2021, Άρθρο 34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4" w:history="1">
        <w:r>
          <w:rPr>
            <w:rStyle w:val="Hyperlink"/>
            <w:color w:val="0000EE"/>
            <w:u w:color="0000EE"/>
            <w:lang w:val="el" w:eastAsia="el"/>
          </w:rPr>
          <w:t>Τροποποίηση 4818/2021, Άρθρο 34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4" w:history="1">
        <w:r>
          <w:rPr>
            <w:rStyle w:val="Hyperlink"/>
            <w:color w:val="0000EE"/>
            <w:u w:color="0000EE"/>
            <w:lang w:val="el" w:eastAsia="el"/>
          </w:rPr>
          <w:t>Τροποποίηση 4818/2021, Άρθρο 34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4" w:history="1">
        <w:r>
          <w:rPr>
            <w:rStyle w:val="Hyperlink"/>
            <w:color w:val="0000EE"/>
            <w:u w:color="0000EE"/>
            <w:lang w:val="el" w:eastAsia="el"/>
          </w:rPr>
          <w:t>Τροποποίηση 4818/2021, Άρθρο 34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4" w:history="1">
        <w:r>
          <w:rPr>
            <w:rStyle w:val="Hyperlink"/>
            <w:color w:val="0000EE"/>
            <w:u w:color="0000EE"/>
            <w:lang w:val="el" w:eastAsia="el"/>
          </w:rPr>
          <w:t>Προσθήκη 4818/2021, Άρθρο 34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Τροποποίηση 5024/2023, Άρθρο 43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3" w:history="1">
        <w:r>
          <w:rPr>
            <w:rStyle w:val="Hyperlink"/>
            <w:color w:val="0000EE"/>
            <w:u w:color="0000EE"/>
            <w:lang w:val="el" w:eastAsia="el"/>
          </w:rPr>
          <w:t>Προσθήκη 5024/2023, Άρθρο 43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Προσθήκη 5024/2023, Άρθρο 43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8" w:history="1">
        <w:r>
          <w:rPr>
            <w:rStyle w:val="Hyperlink"/>
            <w:color w:val="0000EE"/>
            <w:u w:color="0000EE"/>
            <w:lang w:val="el" w:eastAsia="el"/>
          </w:rPr>
          <w:t>Τροποποίηση 4818/2021, Άρθρο 38</w:t>
        </w:r>
      </w:hyperlink>
      <w:r>
        <w:rPr>
          <w:lang w:val="el" w:eastAsia="el"/>
        </w:rPr>
        <w:t xml:space="preserve">; </w:t>
      </w:r>
      <w:hyperlink r:id="rId69" w:anchor="art_83" w:history="1">
        <w:r>
          <w:rPr>
            <w:rStyle w:val="Hyperlink"/>
            <w:color w:val="0000EE"/>
            <w:u w:color="0000EE"/>
            <w:lang w:val="el" w:eastAsia="el"/>
          </w:rPr>
          <w:t>Τροποποίηση 4764/2020, Άρθρο 83</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8" w:history="1">
        <w:r>
          <w:rPr>
            <w:rStyle w:val="Hyperlink"/>
            <w:color w:val="0000EE"/>
            <w:u w:color="0000EE"/>
            <w:lang w:val="el" w:eastAsia="el"/>
          </w:rPr>
          <w:t>Τροποποίηση 4818/2021, Άρθρο 38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8" w:history="1">
        <w:r>
          <w:rPr>
            <w:rStyle w:val="Hyperlink"/>
            <w:color w:val="0000EE"/>
            <w:u w:color="0000EE"/>
            <w:lang w:val="el" w:eastAsia="el"/>
          </w:rPr>
          <w:t>Τροποποίηση 4818/2021, Άρθρο 38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8" w:history="1">
        <w:r>
          <w:rPr>
            <w:rStyle w:val="Hyperlink"/>
            <w:color w:val="0000EE"/>
            <w:u w:color="0000EE"/>
            <w:lang w:val="el" w:eastAsia="el"/>
          </w:rPr>
          <w:t>Τροποποίηση 4818/2021, Άρθρο 38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8" w:history="1">
        <w:r>
          <w:rPr>
            <w:rStyle w:val="Hyperlink"/>
            <w:color w:val="0000EE"/>
            <w:u w:color="0000EE"/>
            <w:lang w:val="el" w:eastAsia="el"/>
          </w:rPr>
          <w:t>Τροποποίηση 4818/2021, Άρθρο 38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8" w:history="1">
        <w:r>
          <w:rPr>
            <w:rStyle w:val="Hyperlink"/>
            <w:color w:val="0000EE"/>
            <w:u w:color="0000EE"/>
            <w:lang w:val="el" w:eastAsia="el"/>
          </w:rPr>
          <w:t>Τροποποίηση 4818/2021, Άρθρο 38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8" w:history="1">
        <w:r>
          <w:rPr>
            <w:rStyle w:val="Hyperlink"/>
            <w:color w:val="0000EE"/>
            <w:u w:color="0000EE"/>
            <w:lang w:val="el" w:eastAsia="el"/>
          </w:rPr>
          <w:t>Τροποποίηση 4818/2021, Άρθρο 38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8" w:history="1">
        <w:r>
          <w:rPr>
            <w:rStyle w:val="Hyperlink"/>
            <w:color w:val="0000EE"/>
            <w:u w:color="0000EE"/>
            <w:lang w:val="el" w:eastAsia="el"/>
          </w:rPr>
          <w:t>Τροποποίηση 4818/2021, Άρθρο 38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8" w:history="1">
        <w:r>
          <w:rPr>
            <w:rStyle w:val="Hyperlink"/>
            <w:color w:val="0000EE"/>
            <w:u w:color="0000EE"/>
            <w:lang w:val="el" w:eastAsia="el"/>
          </w:rPr>
          <w:t>Τροποποίηση 4818/2021, Άρθρο 38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8" w:history="1">
        <w:r>
          <w:rPr>
            <w:rStyle w:val="Hyperlink"/>
            <w:color w:val="0000EE"/>
            <w:u w:color="0000EE"/>
            <w:lang w:val="el" w:eastAsia="el"/>
          </w:rPr>
          <w:t>Τροποποίηση 4818/2021, Άρθρο 38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8" w:history="1">
        <w:r>
          <w:rPr>
            <w:rStyle w:val="Hyperlink"/>
            <w:color w:val="0000EE"/>
            <w:u w:color="0000EE"/>
            <w:lang w:val="el" w:eastAsia="el"/>
          </w:rPr>
          <w:t>Τροποποίηση 4818/2021, Άρθρο 38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8" w:history="1">
        <w:r>
          <w:rPr>
            <w:rStyle w:val="Hyperlink"/>
            <w:color w:val="0000EE"/>
            <w:u w:color="0000EE"/>
            <w:lang w:val="el" w:eastAsia="el"/>
          </w:rPr>
          <w:t>Τροποποίηση 4818/2021, Άρθρο 38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5" w:history="1">
        <w:r>
          <w:rPr>
            <w:rStyle w:val="Hyperlink"/>
            <w:color w:val="0000EE"/>
            <w:u w:color="0000EE"/>
            <w:lang w:val="el" w:eastAsia="el"/>
          </w:rPr>
          <w:t>Τροποποίηση 4821/2021, Άρθρο 75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75" w:history="1">
        <w:r>
          <w:rPr>
            <w:rStyle w:val="Hyperlink"/>
            <w:color w:val="0000EE"/>
            <w:u w:color="0000EE"/>
            <w:lang w:val="el" w:eastAsia="el"/>
          </w:rPr>
          <w:t>Τροποποίηση 4821/2021, Άρθρο 75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75" w:history="1">
        <w:r>
          <w:rPr>
            <w:rStyle w:val="Hyperlink"/>
            <w:color w:val="0000EE"/>
            <w:u w:color="0000EE"/>
            <w:lang w:val="el" w:eastAsia="el"/>
          </w:rPr>
          <w:t>Τροποποίηση 4821/2021, Άρθρο 75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75" w:history="1">
        <w:r>
          <w:rPr>
            <w:rStyle w:val="Hyperlink"/>
            <w:color w:val="0000EE"/>
            <w:u w:color="0000EE"/>
            <w:lang w:val="el" w:eastAsia="el"/>
          </w:rPr>
          <w:t>Τροποποίηση 4821/2021, Άρθρο 75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75" w:history="1">
        <w:r>
          <w:rPr>
            <w:rStyle w:val="Hyperlink"/>
            <w:color w:val="0000EE"/>
            <w:u w:color="0000EE"/>
            <w:lang w:val="el" w:eastAsia="el"/>
          </w:rPr>
          <w:t>Τροποποίηση 4821/2021, Άρθρο 75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75" w:history="1">
        <w:r>
          <w:rPr>
            <w:rStyle w:val="Hyperlink"/>
            <w:color w:val="0000EE"/>
            <w:u w:color="0000EE"/>
            <w:lang w:val="el" w:eastAsia="el"/>
          </w:rPr>
          <w:t>Τροποποίηση 4821/2021, Άρθρο 75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75" w:history="1">
        <w:r>
          <w:rPr>
            <w:rStyle w:val="Hyperlink"/>
            <w:color w:val="0000EE"/>
            <w:u w:color="0000EE"/>
            <w:lang w:val="el" w:eastAsia="el"/>
          </w:rPr>
          <w:t>Τροποποίηση 4821/2021, Άρθρο 75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5" w:history="1">
        <w:r>
          <w:rPr>
            <w:rStyle w:val="Hyperlink"/>
            <w:color w:val="0000EE"/>
            <w:u w:color="0000EE"/>
            <w:lang w:val="el" w:eastAsia="el"/>
          </w:rPr>
          <w:t>Τροποποίηση 4821/2021, Άρθρο 75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5" w:history="1">
        <w:r>
          <w:rPr>
            <w:rStyle w:val="Hyperlink"/>
            <w:color w:val="0000EE"/>
            <w:u w:color="0000EE"/>
            <w:lang w:val="el" w:eastAsia="el"/>
          </w:rPr>
          <w:t>Τροποποίηση 4821/2021, Άρθρο 75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9" w:history="1">
        <w:r>
          <w:rPr>
            <w:rStyle w:val="Hyperlink"/>
            <w:color w:val="0000EE"/>
            <w:u w:color="0000EE"/>
            <w:lang w:val="el" w:eastAsia="el"/>
          </w:rPr>
          <w:t>Προσθήκη 4850/2021, Άρθρο 109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5" w:history="1">
        <w:r>
          <w:rPr>
            <w:rStyle w:val="Hyperlink"/>
            <w:color w:val="0000EE"/>
            <w:u w:color="0000EE"/>
            <w:lang w:val="el" w:eastAsia="el"/>
          </w:rPr>
          <w:t>Προσθήκη 4821/2021, Άρθρο 75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5" w:history="1">
        <w:r>
          <w:rPr>
            <w:rStyle w:val="Hyperlink"/>
            <w:color w:val="0000EE"/>
            <w:u w:color="0000EE"/>
            <w:lang w:val="el" w:eastAsia="el"/>
          </w:rPr>
          <w:t>Τροποποίηση 4821/2021, Άρθρο 75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29.01.2022, Άρθρο 75; </w:t>
      </w:r>
      <w:hyperlink r:id="rId93" w:anchor="art_75" w:history="1">
        <w:r>
          <w:rPr>
            <w:rStyle w:val="Hyperlink"/>
            <w:color w:val="0000EE"/>
            <w:u w:color="0000EE"/>
            <w:lang w:val="el" w:eastAsia="el"/>
          </w:rPr>
          <w:t>Τροποποίηση 4821/2021, Άρθρο 75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5" w:history="1">
        <w:r>
          <w:rPr>
            <w:rStyle w:val="Hyperlink"/>
            <w:color w:val="0000EE"/>
            <w:u w:color="0000EE"/>
            <w:lang w:val="el" w:eastAsia="el"/>
          </w:rPr>
          <w:t>Τροποποίηση 4821/2021, Άρθρο 75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5" w:history="1">
        <w:r>
          <w:rPr>
            <w:rStyle w:val="Hyperlink"/>
            <w:color w:val="0000EE"/>
            <w:u w:color="0000EE"/>
            <w:lang w:val="el" w:eastAsia="el"/>
          </w:rPr>
          <w:t>Τροποποίηση 4821/2021, Άρθρο 75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5" w:history="1">
        <w:r>
          <w:rPr>
            <w:rStyle w:val="Hyperlink"/>
            <w:color w:val="0000EE"/>
            <w:u w:color="0000EE"/>
            <w:lang w:val="el" w:eastAsia="el"/>
          </w:rPr>
          <w:t>Τροποποίηση 5024/2023, Άρθρο 45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5" w:history="1">
        <w:r>
          <w:rPr>
            <w:rStyle w:val="Hyperlink"/>
            <w:color w:val="0000EE"/>
            <w:u w:color="0000EE"/>
            <w:lang w:val="el" w:eastAsia="el"/>
          </w:rPr>
          <w:t>Τροποποίηση 5024/2023, Άρθρο 45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5" w:history="1">
        <w:r>
          <w:rPr>
            <w:rStyle w:val="Hyperlink"/>
            <w:color w:val="0000EE"/>
            <w:u w:color="0000EE"/>
            <w:lang w:val="el" w:eastAsia="el"/>
          </w:rPr>
          <w:t>Προσθήκη 5024/2023, Άρθρο 45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8" w:history="1">
        <w:r>
          <w:rPr>
            <w:rStyle w:val="Hyperlink"/>
            <w:color w:val="0000EE"/>
            <w:u w:color="0000EE"/>
            <w:lang w:val="el" w:eastAsia="el"/>
          </w:rPr>
          <w:t>Τροποποίηση 4818/2021, Άρθρο 38</w:t>
        </w:r>
      </w:hyperlink>
      <w:r>
        <w:rPr>
          <w:lang w:val="el" w:eastAsia="el"/>
        </w:rPr>
        <w:t xml:space="preserve">; </w:t>
      </w:r>
      <w:hyperlink r:id="rId100"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4/24/5024" TargetMode="External" /><Relationship Id="rId10" Type="http://schemas.openxmlformats.org/officeDocument/2006/relationships/hyperlink" Target="http://data.aade.gr/eli/pri/law/2021/07/18/4818" TargetMode="External" /><Relationship Id="rId100" Type="http://schemas.openxmlformats.org/officeDocument/2006/relationships/hyperlink" Target="http://data.aade.gr/eli/pri/law/2020/12/23/4764" TargetMode="External" /><Relationship Id="rId11"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3/04/24/5024" TargetMode="External" /><Relationship Id="rId15" Type="http://schemas.openxmlformats.org/officeDocument/2006/relationships/hyperlink" Target="http://data.aade.gr/eli/pri/law/2023/04/24/5024" TargetMode="External" /><Relationship Id="rId16" Type="http://schemas.openxmlformats.org/officeDocument/2006/relationships/hyperlink" Target="http://data.aade.gr/eli/pri/law/2021/07/18/4818" TargetMode="External" /><Relationship Id="rId17" Type="http://schemas.openxmlformats.org/officeDocument/2006/relationships/hyperlink" Target="http://data.aade.gr/eli/pri/law/2023/04/24/5024" TargetMode="External" /><Relationship Id="rId18" Type="http://schemas.openxmlformats.org/officeDocument/2006/relationships/hyperlink" Target="http://data.aade.gr/eli/pri/law/2023/04/24/5024" TargetMode="External" /><Relationship Id="rId19" Type="http://schemas.openxmlformats.org/officeDocument/2006/relationships/hyperlink" Target="http://data.aade.gr/eli/pri/law/2021/07/31/4821" TargetMode="External" /><Relationship Id="rId2" Type="http://schemas.openxmlformats.org/officeDocument/2006/relationships/hyperlink" Target="http://data.aade.gr/eli/pri/law/2023/04/24/5024" TargetMode="External" /><Relationship Id="rId20" Type="http://schemas.openxmlformats.org/officeDocument/2006/relationships/hyperlink" Target="http://data.aade.gr/eli/pri/law/2023/04/24/5024" TargetMode="External" /><Relationship Id="rId21" Type="http://schemas.openxmlformats.org/officeDocument/2006/relationships/hyperlink" Target="http://data.aade.gr/eli/pri/law/2021/07/31/4821" TargetMode="External" /><Relationship Id="rId22" Type="http://schemas.openxmlformats.org/officeDocument/2006/relationships/hyperlink" Target="http://data.aade.gr/eli/pri/law/2023/04/24/5024" TargetMode="External" /><Relationship Id="rId23" Type="http://schemas.openxmlformats.org/officeDocument/2006/relationships/hyperlink" Target="http://data.aade.gr/eli/pri/law/2023/04/24/5024" TargetMode="External" /><Relationship Id="rId24" Type="http://schemas.openxmlformats.org/officeDocument/2006/relationships/hyperlink" Target="http://data.aade.gr/eli/pri/law/2021/07/18/4818" TargetMode="External" /><Relationship Id="rId25" Type="http://schemas.openxmlformats.org/officeDocument/2006/relationships/hyperlink" Target="http://data.aade.gr/eli/pri/law/2021/07/18/4818" TargetMode="External" /><Relationship Id="rId26" Type="http://schemas.openxmlformats.org/officeDocument/2006/relationships/hyperlink" Target="http://data.aade.gr/eli/pri/law/2021/07/18/4818" TargetMode="External" /><Relationship Id="rId27" Type="http://schemas.openxmlformats.org/officeDocument/2006/relationships/hyperlink" Target="http://data.aade.gr/eli/pri/law/2021/07/18/4818" TargetMode="External" /><Relationship Id="rId28" Type="http://schemas.openxmlformats.org/officeDocument/2006/relationships/hyperlink" Target="http://data.aade.gr/eli/pri/law/2021/07/18/4818" TargetMode="External" /><Relationship Id="rId29" Type="http://schemas.openxmlformats.org/officeDocument/2006/relationships/hyperlink" Target="http://data.aade.gr/eli/pri/law/2021/07/18/4818"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1/07/18/4818" TargetMode="External" /><Relationship Id="rId31" Type="http://schemas.openxmlformats.org/officeDocument/2006/relationships/hyperlink" Target="http://data.aade.gr/eli/pri/law/2021/07/18/4818" TargetMode="External" /><Relationship Id="rId32" Type="http://schemas.openxmlformats.org/officeDocument/2006/relationships/hyperlink" Target="http://data.aade.gr/eli/pri/law/2023/04/24/5024" TargetMode="External" /><Relationship Id="rId33" Type="http://schemas.openxmlformats.org/officeDocument/2006/relationships/hyperlink" Target="http://data.aade.gr/eli/pri/law/2023/04/24/5024" TargetMode="External" /><Relationship Id="rId34" Type="http://schemas.openxmlformats.org/officeDocument/2006/relationships/hyperlink" Target="http://data.aade.gr/eli/pri/law/2021/07/18/4818" TargetMode="External" /><Relationship Id="rId35" Type="http://schemas.openxmlformats.org/officeDocument/2006/relationships/hyperlink" Target="http://data.aade.gr/eli/pri/law/2023/04/24/5024" TargetMode="External" /><Relationship Id="rId36" Type="http://schemas.openxmlformats.org/officeDocument/2006/relationships/hyperlink" Target="http://data.aade.gr/eli/pri/law/2021/07/18/4818"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3/04/24/5024" TargetMode="External" /><Relationship Id="rId40" Type="http://schemas.openxmlformats.org/officeDocument/2006/relationships/hyperlink" Target="http://data.aade.gr/eli/pri/law/2023/04/24/5024" TargetMode="External" /><Relationship Id="rId41" Type="http://schemas.openxmlformats.org/officeDocument/2006/relationships/hyperlink" Target="http://data.aade.gr/eli/pri/law/2023/04/24/5024" TargetMode="External" /><Relationship Id="rId42" Type="http://schemas.openxmlformats.org/officeDocument/2006/relationships/hyperlink" Target="http://data.aade.gr/eli/pri/law/2021/07/18/4818" TargetMode="External" /><Relationship Id="rId43" Type="http://schemas.openxmlformats.org/officeDocument/2006/relationships/hyperlink" Target="http://data.aade.gr/eli/pri/law/2021/07/18/4818" TargetMode="External" /><Relationship Id="rId44" Type="http://schemas.openxmlformats.org/officeDocument/2006/relationships/hyperlink" Target="http://data.aade.gr/eli/pri/law/2021/07/18/4818" TargetMode="External" /><Relationship Id="rId45" Type="http://schemas.openxmlformats.org/officeDocument/2006/relationships/hyperlink" Target="http://data.aade.gr/eli/pri/law/2021/07/18/4818" TargetMode="External" /><Relationship Id="rId46" Type="http://schemas.openxmlformats.org/officeDocument/2006/relationships/hyperlink" Target="http://data.aade.gr/eli/pri/law/2021/07/18/4818" TargetMode="External" /><Relationship Id="rId47" Type="http://schemas.openxmlformats.org/officeDocument/2006/relationships/hyperlink" Target="http://data.aade.gr/eli/pri/law/2021/07/18/4818"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3/04/24/5024" TargetMode="External" /><Relationship Id="rId50" Type="http://schemas.openxmlformats.org/officeDocument/2006/relationships/hyperlink" Target="http://data.aade.gr/eli/pri/law/2021/07/18/4818" TargetMode="External" /><Relationship Id="rId51" Type="http://schemas.openxmlformats.org/officeDocument/2006/relationships/hyperlink" Target="http://data.aade.gr/eli/pri/law/2021/07/18/4818"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1/07/18/4818" TargetMode="External" /><Relationship Id="rId54" Type="http://schemas.openxmlformats.org/officeDocument/2006/relationships/hyperlink" Target="http://data.aade.gr/eli/pri/law/2021/07/18/4818" TargetMode="External" /><Relationship Id="rId55" Type="http://schemas.openxmlformats.org/officeDocument/2006/relationships/hyperlink" Target="http://data.aade.gr/eli/pri/law/2021/07/18/4818" TargetMode="External" /><Relationship Id="rId56" Type="http://schemas.openxmlformats.org/officeDocument/2006/relationships/hyperlink" Target="http://data.aade.gr/eli/pri/law/2021/07/18/4818"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1/07/18/4818" TargetMode="External" /><Relationship Id="rId59" Type="http://schemas.openxmlformats.org/officeDocument/2006/relationships/hyperlink" Target="http://data.aade.gr/eli/pri/law/2021/07/18/4818" TargetMode="External" /><Relationship Id="rId6" Type="http://schemas.openxmlformats.org/officeDocument/2006/relationships/hyperlink" Target="http://data.aade.gr/eli/pri/law/2023/04/24/5024" TargetMode="External" /><Relationship Id="rId60" Type="http://schemas.openxmlformats.org/officeDocument/2006/relationships/hyperlink" Target="http://data.aade.gr/eli/pri/law/2021/07/18/4818" TargetMode="External" /><Relationship Id="rId61" Type="http://schemas.openxmlformats.org/officeDocument/2006/relationships/hyperlink" Target="http://data.aade.gr/eli/pri/law/2021/07/18/4818" TargetMode="External" /><Relationship Id="rId62" Type="http://schemas.openxmlformats.org/officeDocument/2006/relationships/hyperlink" Target="http://data.aade.gr/eli/pri/law/2021/07/18/4818" TargetMode="External" /><Relationship Id="rId63" Type="http://schemas.openxmlformats.org/officeDocument/2006/relationships/hyperlink" Target="http://data.aade.gr/eli/pri/law/2021/07/18/4818" TargetMode="External" /><Relationship Id="rId64" Type="http://schemas.openxmlformats.org/officeDocument/2006/relationships/hyperlink" Target="http://data.aade.gr/eli/pri/law/2021/07/18/4818" TargetMode="External" /><Relationship Id="rId65" Type="http://schemas.openxmlformats.org/officeDocument/2006/relationships/hyperlink" Target="http://data.aade.gr/eli/pri/law/2023/04/24/5024" TargetMode="External" /><Relationship Id="rId66" Type="http://schemas.openxmlformats.org/officeDocument/2006/relationships/hyperlink" Target="http://data.aade.gr/eli/pri/law/2023/04/24/5024" TargetMode="External" /><Relationship Id="rId67" Type="http://schemas.openxmlformats.org/officeDocument/2006/relationships/hyperlink" Target="http://data.aade.gr/eli/pri/law/2023/04/24/5024" TargetMode="External" /><Relationship Id="rId68" Type="http://schemas.openxmlformats.org/officeDocument/2006/relationships/hyperlink" Target="http://data.aade.gr/eli/pri/law/2021/07/18/4818" TargetMode="External" /><Relationship Id="rId69" Type="http://schemas.openxmlformats.org/officeDocument/2006/relationships/hyperlink" Target="http://data.aade.gr/eli/pri/law/2020/12/23/4764" TargetMode="External" /><Relationship Id="rId7" Type="http://schemas.openxmlformats.org/officeDocument/2006/relationships/hyperlink" Target="http://data.aade.gr/eli/pri/law/2023/04/24/5024" TargetMode="External" /><Relationship Id="rId70" Type="http://schemas.openxmlformats.org/officeDocument/2006/relationships/hyperlink" Target="http://data.aade.gr/eli/pri/law/2021/07/18/4818" TargetMode="External" /><Relationship Id="rId71" Type="http://schemas.openxmlformats.org/officeDocument/2006/relationships/hyperlink" Target="http://data.aade.gr/eli/pri/law/2021/07/18/4818" TargetMode="External" /><Relationship Id="rId72" Type="http://schemas.openxmlformats.org/officeDocument/2006/relationships/hyperlink" Target="http://data.aade.gr/eli/pri/law/2021/07/18/4818" TargetMode="External" /><Relationship Id="rId73" Type="http://schemas.openxmlformats.org/officeDocument/2006/relationships/hyperlink" Target="http://data.aade.gr/eli/pri/law/2021/07/18/4818" TargetMode="External" /><Relationship Id="rId74" Type="http://schemas.openxmlformats.org/officeDocument/2006/relationships/hyperlink" Target="http://data.aade.gr/eli/pri/law/2021/07/18/4818" TargetMode="External" /><Relationship Id="rId75" Type="http://schemas.openxmlformats.org/officeDocument/2006/relationships/hyperlink" Target="http://data.aade.gr/eli/pri/law/2021/07/18/4818" TargetMode="External" /><Relationship Id="rId76" Type="http://schemas.openxmlformats.org/officeDocument/2006/relationships/hyperlink" Target="http://data.aade.gr/eli/pri/law/2021/07/18/4818" TargetMode="External" /><Relationship Id="rId77" Type="http://schemas.openxmlformats.org/officeDocument/2006/relationships/hyperlink" Target="http://data.aade.gr/eli/pri/law/2021/07/18/4818" TargetMode="External" /><Relationship Id="rId78" Type="http://schemas.openxmlformats.org/officeDocument/2006/relationships/hyperlink" Target="http://data.aade.gr/eli/pri/law/2021/07/18/4818" TargetMode="External" /><Relationship Id="rId79" Type="http://schemas.openxmlformats.org/officeDocument/2006/relationships/hyperlink" Target="http://data.aade.gr/eli/pri/law/2021/07/18/4818" TargetMode="External" /><Relationship Id="rId8" Type="http://schemas.openxmlformats.org/officeDocument/2006/relationships/hyperlink" Target="http://data.aade.gr/eli/pri/law/2023/04/24/5024" TargetMode="External" /><Relationship Id="rId80" Type="http://schemas.openxmlformats.org/officeDocument/2006/relationships/hyperlink" Target="http://data.aade.gr/eli/pri/law/2021/07/18/4818" TargetMode="External" /><Relationship Id="rId81" Type="http://schemas.openxmlformats.org/officeDocument/2006/relationships/hyperlink" Target="http://data.aade.gr/eli/pri/law/2021/07/31/4821" TargetMode="External" /><Relationship Id="rId82" Type="http://schemas.openxmlformats.org/officeDocument/2006/relationships/hyperlink" Target="http://data.aade.gr/eli/pri/law/2021/07/31/4821" TargetMode="External" /><Relationship Id="rId83" Type="http://schemas.openxmlformats.org/officeDocument/2006/relationships/hyperlink" Target="http://data.aade.gr/eli/pri/law/2021/07/31/4821" TargetMode="External" /><Relationship Id="rId84" Type="http://schemas.openxmlformats.org/officeDocument/2006/relationships/hyperlink" Target="http://data.aade.gr/eli/pri/law/2021/07/31/4821" TargetMode="External" /><Relationship Id="rId85" Type="http://schemas.openxmlformats.org/officeDocument/2006/relationships/hyperlink" Target="http://data.aade.gr/eli/pri/law/2021/07/31/4821" TargetMode="External" /><Relationship Id="rId86" Type="http://schemas.openxmlformats.org/officeDocument/2006/relationships/hyperlink" Target="http://data.aade.gr/eli/pri/law/2021/07/31/4821" TargetMode="External" /><Relationship Id="rId87" Type="http://schemas.openxmlformats.org/officeDocument/2006/relationships/hyperlink" Target="http://data.aade.gr/eli/pri/law/2021/07/31/4821" TargetMode="External" /><Relationship Id="rId88" Type="http://schemas.openxmlformats.org/officeDocument/2006/relationships/hyperlink" Target="http://data.aade.gr/eli/pri/law/2021/07/31/4821" TargetMode="External" /><Relationship Id="rId89" Type="http://schemas.openxmlformats.org/officeDocument/2006/relationships/hyperlink" Target="http://data.aade.gr/eli/pri/law/2021/07/31/4821" TargetMode="External" /><Relationship Id="rId9" Type="http://schemas.openxmlformats.org/officeDocument/2006/relationships/hyperlink" Target="http://data.aade.gr/eli/pri/law/2021/07/18/4818" TargetMode="External" /><Relationship Id="rId90" Type="http://schemas.openxmlformats.org/officeDocument/2006/relationships/hyperlink" Target="http://data.aade.gr/eli/pri/law/2021/11/05/4850" TargetMode="External" /><Relationship Id="rId91" Type="http://schemas.openxmlformats.org/officeDocument/2006/relationships/hyperlink" Target="http://data.aade.gr/eli/pri/law/2021/07/31/4821" TargetMode="External" /><Relationship Id="rId92" Type="http://schemas.openxmlformats.org/officeDocument/2006/relationships/hyperlink" Target="http://data.aade.gr/eli/pri/law/2021/07/31/4821" TargetMode="External" /><Relationship Id="rId93" Type="http://schemas.openxmlformats.org/officeDocument/2006/relationships/hyperlink" Target="http://data.aade.gr/eli/pri/law/2021/07/31/4821" TargetMode="External" /><Relationship Id="rId94" Type="http://schemas.openxmlformats.org/officeDocument/2006/relationships/hyperlink" Target="http://data.aade.gr/eli/pri/law/2021/07/31/4821" TargetMode="External" /><Relationship Id="rId95" Type="http://schemas.openxmlformats.org/officeDocument/2006/relationships/hyperlink" Target="http://data.aade.gr/eli/pri/law/2021/07/31/4821" TargetMode="External" /><Relationship Id="rId96" Type="http://schemas.openxmlformats.org/officeDocument/2006/relationships/hyperlink" Target="http://data.aade.gr/eli/pri/law/2023/04/24/5024" TargetMode="External" /><Relationship Id="rId97" Type="http://schemas.openxmlformats.org/officeDocument/2006/relationships/hyperlink" Target="http://data.aade.gr/eli/pri/law/2023/04/24/5024" TargetMode="External" /><Relationship Id="rId98" Type="http://schemas.openxmlformats.org/officeDocument/2006/relationships/hyperlink" Target="http://data.aade.gr/eli/pri/law/2023/04/24/5024" TargetMode="External" /><Relationship Id="rId99" Type="http://schemas.openxmlformats.org/officeDocument/2006/relationships/hyperlink" Target="http://data.aade.gr/eli/pri/law/2021/07/18/48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