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MainText"/>
        <w:spacing w:before="120" w:after="0"/>
        <w:rPr>
          <w:lang w:val="el" w:eastAsia="el"/>
        </w:rPr>
      </w:pPr>
      <w:r>
        <w:rPr>
          <w:b/>
          <w:bCs/>
          <w:lang w:val="el" w:eastAsia="el"/>
        </w:rPr>
        <w:t>3.</w:t>
      </w:r>
      <w:r>
        <w:rPr>
          <w:lang w:val="el" w:eastAsia="el"/>
        </w:rPr>
        <w:t xml:space="preserve"> Σε αιτήσεις στον εξωδικαστικό μηχανισμό ρύθμισης οφειλών του Κεφαλαίου Α’ του Μέρους Α’ του πρώτου βιβλίου του παρόντος από αθλητικούς συλλόγους ή αθλητικά σωματεία μη κερδοσκοπικού χαρακτήρα που έχουν στα περιουσιακά τους στοιχεία γήπεδα, τα οποία εμπίπτουν στο πεδίο εφαρμογής της παρ. 9 του άρθρου 7 του ν. 2725/1999 (Α’ 121), λαμβάνεται υπόψη ως αξία των γηπέδων αυτών, η μέγιστη αξία δύο εκθέσεων εκτίμησης πιστοποιημένων από το Υπουργείο Εθνικής Οικονομίας και Οικονομικών εκτιμητών, σύμφωνα με την παρ. Γ’ του άρθρου πρώτου του ν. 4152/2013 (Α’ 107), οι οποίες έχουν εκδοθεί εντός τριών (3) μηνών πριν από την ημερομηνία της αίτησης. Για την εκπόνηση των εκθέσεων αυτών εφαρμόζονται αναλογικά οι παρ. 4 και 5 του άρθρου 9 της υπό στοιχεία 26400 ΕΞ 2021 απόφασης του Υπουργού Οικονομικών (Β’ 865).</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MainText"/>
        <w:spacing w:before="120" w:after="0"/>
        <w:rPr>
          <w:lang w:val="el" w:eastAsia="el"/>
        </w:rPr>
      </w:pPr>
      <w:r>
        <w:rPr>
          <w:b/>
          <w:bCs/>
          <w:lang w:val="el" w:eastAsia="el"/>
        </w:rPr>
        <w:t>6.</w:t>
      </w:r>
      <w:r>
        <w:rPr>
          <w:lang w:val="el" w:eastAsia="el"/>
        </w:rPr>
        <w:t xml:space="preserve"> Οι χρηματοδοτικοί φορείς ενημερώνουν την ηλεκτρονική πλατφόρμα με τα στοιχεία καταθέσεων, κινήσεων λογαριασμών, οφειλών, εξασφαλίσεων οφειλών, συνοφειλετών,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Για οφειλέτες που: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πληρούν έως το διπλάσιο των εισοδηματικών και λοιπών περιουσιακών κριτηρίων του ευάλωτου οφειλέτη της περ. α) του άρθρου 217, έχουν ληξιπρόθεσμες, εν όλω ή εν μέρει, οφειλές τουλάχιστον ενενήντα (90) ημερών κατά την έναρξη ισχύος του παρόντος σε χρηματοδοτικούς φορείς ύψους έως τριακόσιες χιλιάδες (300.000) ευρώ και χαρακτηρίζονται ως επιλέξιμοι οφειλέτες, τεκμαίρεται η συναίνεση του συνόλου των πιστωτών, επί της παραγόμενης αντιπρότασης πιστωτών, σύμφωνα με την παρ. 2Α του άρθρου 71, συμπεριλαμβανομένων των χρηματοδοτικών φορέων, του Δημοσίου και των Φορέων Κοινωνικής Ασφάλισης.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Πρωτοδικείου. Λόγοι της ανακοπής είναι αποκλειστικά:</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ανακρίβεια των στοιχείων που έχει υποβάλει ο οφειλέτης,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Πρωτοδικείου δεν υπόκειται σε έφεση.</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pStyle w:val="MainText"/>
        <w:spacing w:before="120" w:after="0"/>
        <w:rPr>
          <w:lang w:val="el" w:eastAsia="el"/>
        </w:rPr>
      </w:pPr>
      <w:r>
        <w:rPr>
          <w:b/>
          <w:bCs/>
          <w:lang w:val="el" w:eastAsia="el"/>
        </w:rPr>
        <w:t>1.</w:t>
      </w:r>
      <w:r>
        <w:rPr>
          <w:lang w:val="el" w:eastAsia="el"/>
        </w:rPr>
        <w:t xml:space="preserve"> 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ε)</w:t>
      </w:r>
      <w:r>
        <w:rPr>
          <w:lang w:val="en" w:eastAsia="en"/>
        </w:rPr>
        <w:tab/>
      </w:r>
      <w:r>
        <w:rPr>
          <w:lang w:val="el" w:eastAsia="el"/>
        </w:rPr>
        <w:t>Η διαγραφή ασφαλιστικών εισφορών απαγορεύεται.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r>
        <w:rPr>
          <w:rStyle w:val="Hyperlink"/>
          <w:color w:val="000000"/>
          <w:sz w:val="20"/>
          <w:szCs w:val="20"/>
          <w:u w:val="none" w:color="0000EE"/>
          <w:vertAlign w:val="superscript"/>
          <w:lang w:val="el" w:eastAsia="el"/>
        </w:rPr>
        <w:footnoteReference w:id="46"/>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μετά από αίτηση του οφειλέτη, και υπό την προϋπόθεση ότι: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4Α.</w:t>
      </w:r>
      <w:r>
        <w:rPr>
          <w:lang w:val="el" w:eastAsia="el"/>
        </w:rPr>
        <w:t xml:space="preserve">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4Β.</w:t>
      </w:r>
      <w:r>
        <w:rPr>
          <w:lang w:val="el" w:eastAsia="el"/>
        </w:rPr>
        <w:t xml:space="preserve">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4Γ.</w:t>
      </w:r>
      <w:r>
        <w:rPr>
          <w:lang w:val="el" w:eastAsia="el"/>
        </w:rPr>
        <w:t xml:space="preserve">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4Δ.</w:t>
      </w:r>
      <w:r>
        <w:rPr>
          <w:lang w:val="el" w:eastAsia="el"/>
        </w:rPr>
        <w:t xml:space="preserve">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MainText"/>
        <w:spacing w:before="120" w:after="0"/>
        <w:rPr>
          <w:lang w:val="el" w:eastAsia="el"/>
        </w:rPr>
      </w:pPr>
      <w:r>
        <w:rPr>
          <w:b/>
          <w:bCs/>
          <w:lang w:val="el" w:eastAsia="el"/>
        </w:rPr>
        <w:t>6.</w:t>
      </w:r>
      <w:r>
        <w:rPr>
          <w:lang w:val="el" w:eastAsia="el"/>
        </w:rPr>
        <w:t xml:space="preserve"> Στην κατάσταση της παρ. 3 μπορούν να περιλαμβάνονται και απαιτήσεις πιστωτών χρηματοδοτικών φορέων, για τις οποίες έχει παρασχεθεί η εγγύηση του Ελληνικού Δημοσίου. Ανεξαρτήτως των όρων της συμφωνίας εξυγίανσης,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44 μέχρι την με οποιονδήποτε τρόπο ολοκλήρωση της διαδικασίας εξυγίανσης, καθώς και για όσο χρονικό διάστημα η επικυρωθείσα συμφωνία εξυγίανσης διατηρείται σε ισχύ. Αιτήματα κατάπτωσης που έχουν ήδη υποβληθεί μέχρι την ημερομηνία κατάθεσης της αίτησης του άρθρου 44, επίδικα ή μη, παραμένουν ισχυρά.</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7.</w:t>
      </w:r>
      <w:r>
        <w:rPr>
          <w:lang w:val="el" w:eastAsia="el"/>
        </w:rPr>
        <w:t xml:space="preserve"> Εφόσον η διαδικασία της εξυγίανσης ολοκληρωθεί επιτυχώς και επικυρωθεί το σχέδιο εξυγίανσης, κατά την υλοποίηση του σχεδίου, η οφειλή δύναται να εξυπηρετείται σε νέο λογαριασμό, στον οποίο αποτυπώνονται τα χαρακτηριστικά της συμφωνίας.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Αν η επικυρωμένη συμφωνία εξυγίανσης προβλέπει μείωση των απαιτήσεων έναντι του οφειλέτη, οι χρηματοδοτικοί φορείς δικαιούνται να ζητήσουν από το Ελληνικό Δημόσιο ως εγγυητή την εφάπαξ πληρωμή του εγγυημένου μέρους του διαγραφέντος ποσού, με την άμεση υποβολή σχετικού αιτήματος προς την αρμόδια υπηρεσία του Γενικού Λογιστηρίου του Κράτους. Το Ελληνικό Δημόσιο εξοφλεί τις υποχρεώσεις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υπηρεσία της Ανεξάρτητης Αρχής Δημοσίων Εσόδων και με αναλογική εφαρμογή των περιπτώσεων β, γ' και δ' της παρ. 6 του άρθρου 101 του ν. 4549/2018 (Α' 105).</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9.</w:t>
      </w:r>
      <w:r>
        <w:rPr>
          <w:lang w:val="el" w:eastAsia="el"/>
        </w:rPr>
        <w:t xml:space="preserve"> Αν ακυρωθεί η συμφωνία εξυγίανσης σύμφωνα με το άρθρο 63, επί δανείων ή πιστώσεων εγγυημένων από το Ελληνικό Δημόσιο αναβιώνουν οι οφειλές στο προ της συμφωνίας εξυγίανσης ανερχόμενο ύψος, το οποίο καθίσταται στο σύνολό του ληξιπρόθεσμο και άμεσα απαιτητό, με την επιφύλαξη ποσών που εν τω μεταξύ καταβλήθηκαν.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από την αναβίωση.</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συνεκτιμήσει ιδιαίτερα χαρακτηριστικά που τεκμηριώνουν την ιδιαίτερη οικονομική δυσχέρεια ή τυχόν κοινωνικά κριτήρια ή ειδικά προβλήματα υγείας.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MainText"/>
        <w:spacing w:before="120" w:after="0"/>
        <w:rPr>
          <w:lang w:val="el" w:eastAsia="el"/>
        </w:rPr>
      </w:pPr>
      <w:r>
        <w:rPr>
          <w:b/>
          <w:bCs/>
          <w:lang w:val="el" w:eastAsia="el"/>
        </w:rPr>
        <w:t>9.</w:t>
      </w:r>
      <w:r>
        <w:rPr>
          <w:lang w:val="el" w:eastAsia="el"/>
        </w:rPr>
        <w:t xml:space="preserve">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MainText"/>
        <w:spacing w:before="120" w:after="0"/>
        <w:rPr>
          <w:lang w:val="el" w:eastAsia="el"/>
        </w:rPr>
      </w:pPr>
      <w:r>
        <w:rPr>
          <w:b/>
          <w:bCs/>
          <w:lang w:val="el" w:eastAsia="el"/>
        </w:rPr>
        <w:t>5.</w:t>
      </w:r>
      <w:r>
        <w:rPr>
          <w:lang w:val="el" w:eastAsia="el"/>
        </w:rPr>
        <w:t xml:space="preserve">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Αν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MainText"/>
        <w:spacing w:before="120" w:after="0"/>
        <w:rPr>
          <w:lang w:val="el" w:eastAsia="el"/>
        </w:rPr>
      </w:pPr>
      <w:r>
        <w:rPr>
          <w:b/>
          <w:bCs/>
          <w:lang w:val="el" w:eastAsia="el"/>
        </w:rPr>
        <w:t>4.</w:t>
      </w:r>
      <w:r>
        <w:rPr>
          <w:lang w:val="el" w:eastAsia="el"/>
        </w:rPr>
        <w:t xml:space="preserve"> Μετά το πέρας της προθεσμίας απαλλαγής, ο εισηγητής δικαστής, κατόπιν αίτησης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 Κατά την εφαρμογή του δευτέρου εδαφίου της παρ. 4 του άρθρου 77, περί αντικειμενικών προϋποθέσεων, και εφόσον δεν εκκρεμεί προσφυγή του άρθρου 193, περί προσφυγής κατά της απαλλαγής, η πράξη του εισηγητή δικαστή εκδίδεται μετά από αίτημα του οφειλέτη που συνοδεύεται από στοιχεία σχετικά με την αξία της περιουσίας και το ύψος των οφειλών του κατά τον χρόνο έκδοσης της απόφασης που διέταξε την καταχώριση του ονόματός του στο Ηλεκτρονικό Μητρώο Φερεγγυότητας του άρθρου 213.</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απαλλαγή ανακαλείται, αν επέλθει μεταβολή πραγμάτων που να δικαιολογεί την ανάκληση εντός τριετίας από την επέλευση της απαλλαγής.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64; </w:t>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5224/2025, Άρθρο 11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5193/2025, Άρθρο 178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8" w:history="1">
        <w:r>
          <w:rPr>
            <w:rStyle w:val="Hyperlink"/>
            <w:color w:val="0000EE"/>
            <w:u w:color="0000EE"/>
            <w:lang w:val="el" w:eastAsia="el"/>
          </w:rPr>
          <w:t>Τροποποίηση 5193/2025, Άρθρο 178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78" w:history="1">
        <w:r>
          <w:rPr>
            <w:rStyle w:val="Hyperlink"/>
            <w:color w:val="0000EE"/>
            <w:u w:color="0000EE"/>
            <w:lang w:val="el" w:eastAsia="el"/>
          </w:rPr>
          <w:t>Τροποποίηση 5193/2025, Άρθρο 178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78" w:history="1">
        <w:r>
          <w:rPr>
            <w:rStyle w:val="Hyperlink"/>
            <w:color w:val="0000EE"/>
            <w:u w:color="0000EE"/>
            <w:lang w:val="el" w:eastAsia="el"/>
          </w:rPr>
          <w:t>Τροποποίηση 5193/2025, Άρθρο 178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78" w:history="1">
        <w:r>
          <w:rPr>
            <w:rStyle w:val="Hyperlink"/>
            <w:color w:val="0000EE"/>
            <w:u w:color="0000EE"/>
            <w:lang w:val="el" w:eastAsia="el"/>
          </w:rPr>
          <w:t>Τροποποίηση 5193/2025, Άρθρο 178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8" w:history="1">
        <w:r>
          <w:rPr>
            <w:rStyle w:val="Hyperlink"/>
            <w:color w:val="0000EE"/>
            <w:u w:color="0000EE"/>
            <w:lang w:val="el" w:eastAsia="el"/>
          </w:rPr>
          <w:t>Τροποποίηση 5193/2025, Άρθρο 178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8" w:history="1">
        <w:r>
          <w:rPr>
            <w:rStyle w:val="Hyperlink"/>
            <w:color w:val="0000EE"/>
            <w:u w:color="0000EE"/>
            <w:lang w:val="el" w:eastAsia="el"/>
          </w:rPr>
          <w:t>Τροποποίηση 5193/2025, Άρθρο 178</w:t>
        </w:r>
      </w:hyperlink>
      <w:r>
        <w:rPr>
          <w:lang w:val="el" w:eastAsia="el"/>
        </w:rPr>
        <w:t>; Προσθήκη 5072/2023, Άρθρο 66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5024/2023,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67; </w:t>
      </w:r>
      <w:hyperlink r:id="rId26" w:anchor="art_40" w:history="1">
        <w:r>
          <w:rPr>
            <w:rStyle w:val="Hyperlink"/>
            <w:color w:val="0000EE"/>
            <w:u w:color="0000EE"/>
            <w:lang w:val="el" w:eastAsia="el"/>
          </w:rPr>
          <w:t>Τροποποίηση 5024/2023, Άρθρο 40</w:t>
        </w:r>
      </w:hyperlink>
      <w:r>
        <w:rPr>
          <w:lang w:val="el" w:eastAsia="el"/>
        </w:rPr>
        <w:t xml:space="preserve">; </w:t>
      </w:r>
      <w:hyperlink r:id="rId27" w:anchor="art_84" w:history="1">
        <w:r>
          <w:rPr>
            <w:rStyle w:val="Hyperlink"/>
            <w:color w:val="0000EE"/>
            <w:u w:color="0000EE"/>
            <w:lang w:val="el" w:eastAsia="el"/>
          </w:rPr>
          <w:t>Τροποποίηση 4821/2021, Άρθρο 84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67</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5024/2023, Άρθρο 41</w:t>
        </w:r>
      </w:hyperlink>
      <w:r>
        <w:rPr>
          <w:lang w:val="el" w:eastAsia="el"/>
        </w:rPr>
        <w:t xml:space="preserve">; </w:t>
      </w:r>
      <w:hyperlink r:id="rId29" w:anchor="art_84" w:history="1">
        <w:r>
          <w:rPr>
            <w:rStyle w:val="Hyperlink"/>
            <w:color w:val="0000EE"/>
            <w:u w:color="0000EE"/>
            <w:lang w:val="el" w:eastAsia="el"/>
          </w:rPr>
          <w:t>Τροποποίηση 4821/2021, Άρθρο 84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5024/2023,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2" w:history="1">
        <w:r>
          <w:rPr>
            <w:rStyle w:val="Hyperlink"/>
            <w:color w:val="0000EE"/>
            <w:u w:color="0000EE"/>
            <w:lang w:val="el" w:eastAsia="el"/>
          </w:rPr>
          <w:t>Τροποποίηση 5024/2023,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Προσθήκη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Προσθήκη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Προσθήκη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Προσθήκη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Προσθήκη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Προσθήκη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Προσθήκη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5024/2023,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68; </w:t>
      </w:r>
      <w:hyperlink r:id="rId41" w:anchor="art_42" w:history="1">
        <w:r>
          <w:rPr>
            <w:rStyle w:val="Hyperlink"/>
            <w:color w:val="0000EE"/>
            <w:u w:color="0000EE"/>
            <w:lang w:val="el" w:eastAsia="el"/>
          </w:rPr>
          <w:t>Προσθήκη 5024/2023,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68</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9" w:history="1">
        <w:r>
          <w:rPr>
            <w:rStyle w:val="Hyperlink"/>
            <w:color w:val="0000EE"/>
            <w:u w:color="0000EE"/>
            <w:lang w:val="el" w:eastAsia="el"/>
          </w:rPr>
          <w:t>Τροποποίηση 5193/2025, Άρθρο 229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9" w:history="1">
        <w:r>
          <w:rPr>
            <w:rStyle w:val="Hyperlink"/>
            <w:color w:val="0000EE"/>
            <w:u w:color="0000EE"/>
            <w:lang w:val="el" w:eastAsia="el"/>
          </w:rPr>
          <w:t>Τροποποίηση 5193/2025, Άρθρο 229</w:t>
        </w:r>
      </w:hyperlink>
      <w:r>
        <w:rPr>
          <w:lang w:val="el" w:eastAsia="el"/>
        </w:rPr>
        <w:t xml:space="preserve">; </w:t>
      </w:r>
      <w:hyperlink r:id="rId45" w:anchor="art_42" w:history="1">
        <w:r>
          <w:rPr>
            <w:rStyle w:val="Hyperlink"/>
            <w:color w:val="0000EE"/>
            <w:u w:color="0000EE"/>
            <w:lang w:val="el" w:eastAsia="el"/>
          </w:rPr>
          <w:t>Αφαίρεση 5024/2023,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Προσθήκη 5024/2023,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Προσθήκη 5024/2023,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Προσθήκη 4818/2021, Άρθρο 34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02" w:history="1">
        <w:r>
          <w:rPr>
            <w:rStyle w:val="Hyperlink"/>
            <w:color w:val="0000EE"/>
            <w:u w:color="0000EE"/>
            <w:lang w:val="el" w:eastAsia="el"/>
          </w:rPr>
          <w:t>Προσθήκη 5104/2024, Άρθρο 102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2" w:history="1">
        <w:r>
          <w:rPr>
            <w:rStyle w:val="Hyperlink"/>
            <w:color w:val="0000EE"/>
            <w:u w:color="0000EE"/>
            <w:lang w:val="el" w:eastAsia="el"/>
          </w:rPr>
          <w:t>Προσθήκη 5104/2024, Άρθρο 102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2" w:history="1">
        <w:r>
          <w:rPr>
            <w:rStyle w:val="Hyperlink"/>
            <w:color w:val="0000EE"/>
            <w:u w:color="0000EE"/>
            <w:lang w:val="el" w:eastAsia="el"/>
          </w:rPr>
          <w:t>Προσθήκη 5104/2024, Άρθρο 102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2" w:history="1">
        <w:r>
          <w:rPr>
            <w:rStyle w:val="Hyperlink"/>
            <w:color w:val="0000EE"/>
            <w:u w:color="0000EE"/>
            <w:lang w:val="el" w:eastAsia="el"/>
          </w:rPr>
          <w:t>Προσθήκη 5104/2024, Άρθρο 102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Τροποποίηση 4818/2021, Άρθρο 34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79" w:history="1">
        <w:r>
          <w:rPr>
            <w:rStyle w:val="Hyperlink"/>
            <w:color w:val="0000EE"/>
            <w:u w:color="0000EE"/>
            <w:lang w:val="el" w:eastAsia="el"/>
          </w:rPr>
          <w:t>Προσθήκη 5193/2025, Άρθρο 179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79" w:history="1">
        <w:r>
          <w:rPr>
            <w:rStyle w:val="Hyperlink"/>
            <w:color w:val="0000EE"/>
            <w:u w:color="0000EE"/>
            <w:lang w:val="el" w:eastAsia="el"/>
          </w:rPr>
          <w:t>Προσθήκη 5193/2025, Άρθρο 179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79" w:history="1">
        <w:r>
          <w:rPr>
            <w:rStyle w:val="Hyperlink"/>
            <w:color w:val="0000EE"/>
            <w:u w:color="0000EE"/>
            <w:lang w:val="el" w:eastAsia="el"/>
          </w:rPr>
          <w:t>Προσθήκη 5193/2025, Άρθρο 179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79" w:history="1">
        <w:r>
          <w:rPr>
            <w:rStyle w:val="Hyperlink"/>
            <w:color w:val="0000EE"/>
            <w:u w:color="0000EE"/>
            <w:lang w:val="el" w:eastAsia="el"/>
          </w:rPr>
          <w:t>Προσθήκη 5193/2025, Άρθρο 179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4" w:history="1">
        <w:r>
          <w:rPr>
            <w:rStyle w:val="Hyperlink"/>
            <w:color w:val="0000EE"/>
            <w:u w:color="0000EE"/>
            <w:lang w:val="el" w:eastAsia="el"/>
          </w:rPr>
          <w:t>Τροποποίηση 4818/2021, Άρθρο 34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4" w:history="1">
        <w:r>
          <w:rPr>
            <w:rStyle w:val="Hyperlink"/>
            <w:color w:val="0000EE"/>
            <w:u w:color="0000EE"/>
            <w:lang w:val="el" w:eastAsia="el"/>
          </w:rPr>
          <w:t>Τροποποίηση 4818/2021, Άρθρο 34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4" w:history="1">
        <w:r>
          <w:rPr>
            <w:rStyle w:val="Hyperlink"/>
            <w:color w:val="0000EE"/>
            <w:u w:color="0000EE"/>
            <w:lang w:val="el" w:eastAsia="el"/>
          </w:rPr>
          <w:t>Τροποποίηση 4818/2021,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4818/2021,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4" w:history="1">
        <w:r>
          <w:rPr>
            <w:rStyle w:val="Hyperlink"/>
            <w:color w:val="0000EE"/>
            <w:u w:color="0000EE"/>
            <w:lang w:val="el" w:eastAsia="el"/>
          </w:rPr>
          <w:t>Τροποποίηση 4818/2021,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4818/2021, Άρθρο 34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4" w:history="1">
        <w:r>
          <w:rPr>
            <w:rStyle w:val="Hyperlink"/>
            <w:color w:val="0000EE"/>
            <w:u w:color="0000EE"/>
            <w:lang w:val="el" w:eastAsia="el"/>
          </w:rPr>
          <w:t>Τροποποίηση 4818/2021, Άρθρο 34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4" w:history="1">
        <w:r>
          <w:rPr>
            <w:rStyle w:val="Hyperlink"/>
            <w:color w:val="0000EE"/>
            <w:u w:color="0000EE"/>
            <w:lang w:val="el" w:eastAsia="el"/>
          </w:rPr>
          <w:t>Τροποποίηση 4818/2021, Άρθρο 34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4" w:history="1">
        <w:r>
          <w:rPr>
            <w:rStyle w:val="Hyperlink"/>
            <w:color w:val="0000EE"/>
            <w:u w:color="0000EE"/>
            <w:lang w:val="el" w:eastAsia="el"/>
          </w:rPr>
          <w:t>Τροποποίηση 4818/2021,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4" w:history="1">
        <w:r>
          <w:rPr>
            <w:rStyle w:val="Hyperlink"/>
            <w:color w:val="0000EE"/>
            <w:u w:color="0000EE"/>
            <w:lang w:val="el" w:eastAsia="el"/>
          </w:rPr>
          <w:t>Τροποποίηση 4818/2021, Άρθρο 34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4" w:history="1">
        <w:r>
          <w:rPr>
            <w:rStyle w:val="Hyperlink"/>
            <w:color w:val="0000EE"/>
            <w:u w:color="0000EE"/>
            <w:lang w:val="el" w:eastAsia="el"/>
          </w:rPr>
          <w:t>Τροποποίηση 4818/2021, Άρθρο 34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4" w:history="1">
        <w:r>
          <w:rPr>
            <w:rStyle w:val="Hyperlink"/>
            <w:color w:val="0000EE"/>
            <w:u w:color="0000EE"/>
            <w:lang w:val="el" w:eastAsia="el"/>
          </w:rPr>
          <w:t>Τροποποίηση 4818/2021, Άρθρο 34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16" w:history="1">
        <w:r>
          <w:rPr>
            <w:rStyle w:val="Hyperlink"/>
            <w:color w:val="0000EE"/>
            <w:u w:color="0000EE"/>
            <w:lang w:val="el" w:eastAsia="el"/>
          </w:rPr>
          <w:t>Τροποποίηση 4818/2021, Άρθρο 116</w:t>
        </w:r>
      </w:hyperlink>
      <w:r>
        <w:rPr>
          <w:lang w:val="el" w:eastAsia="el"/>
        </w:rPr>
        <w:t xml:space="preserve">; </w:t>
      </w:r>
      <w:hyperlink r:id="rId78" w:anchor="art_34" w:history="1">
        <w:r>
          <w:rPr>
            <w:rStyle w:val="Hyperlink"/>
            <w:color w:val="0000EE"/>
            <w:u w:color="0000EE"/>
            <w:lang w:val="el" w:eastAsia="el"/>
          </w:rPr>
          <w:t>Προσθήκη 4818/2021, Άρθρο 34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4" w:history="1">
        <w:r>
          <w:rPr>
            <w:rStyle w:val="Hyperlink"/>
            <w:color w:val="0000EE"/>
            <w:u w:color="0000EE"/>
            <w:lang w:val="el" w:eastAsia="el"/>
          </w:rPr>
          <w:t>Τροποποίηση 4818/2021, Άρθρο 34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4" w:history="1">
        <w:r>
          <w:rPr>
            <w:rStyle w:val="Hyperlink"/>
            <w:color w:val="0000EE"/>
            <w:u w:color="0000EE"/>
            <w:lang w:val="el" w:eastAsia="el"/>
          </w:rPr>
          <w:t>Τροποποίηση 4818/2021, Άρθρο 34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4" w:history="1">
        <w:r>
          <w:rPr>
            <w:rStyle w:val="Hyperlink"/>
            <w:color w:val="0000EE"/>
            <w:u w:color="0000EE"/>
            <w:lang w:val="el" w:eastAsia="el"/>
          </w:rPr>
          <w:t>Τροποποίηση 4818/2021, Άρθρο 34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4" w:history="1">
        <w:r>
          <w:rPr>
            <w:rStyle w:val="Hyperlink"/>
            <w:color w:val="0000EE"/>
            <w:u w:color="0000EE"/>
            <w:lang w:val="el" w:eastAsia="el"/>
          </w:rPr>
          <w:t>Τροποποίηση 4818/2021, Άρθρο 34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4" w:history="1">
        <w:r>
          <w:rPr>
            <w:rStyle w:val="Hyperlink"/>
            <w:color w:val="0000EE"/>
            <w:u w:color="0000EE"/>
            <w:lang w:val="el" w:eastAsia="el"/>
          </w:rPr>
          <w:t>Προσθήκη 4818/2021, Άρθρο 34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3" w:history="1">
        <w:r>
          <w:rPr>
            <w:rStyle w:val="Hyperlink"/>
            <w:color w:val="0000EE"/>
            <w:u w:color="0000EE"/>
            <w:lang w:val="el" w:eastAsia="el"/>
          </w:rPr>
          <w:t>Τροποποίηση 5024/2023, Άρθρο 43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Προσθήκη 5024/2023, Άρθρο 43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Προσθήκη 5024/2023, Άρθρο 43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69</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72</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73</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74</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105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76</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77</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78</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79</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79</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81</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82</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83</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84</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0" w:history="1">
        <w:r>
          <w:rPr>
            <w:rStyle w:val="Hyperlink"/>
            <w:color w:val="0000EE"/>
            <w:u w:color="0000EE"/>
            <w:lang w:val="el" w:eastAsia="el"/>
          </w:rPr>
          <w:t>Τροποποίηση 5193/2025, Άρθρο 180</w:t>
        </w:r>
      </w:hyperlink>
      <w:r>
        <w:rPr>
          <w:lang w:val="el" w:eastAsia="el"/>
        </w:rPr>
        <w:t>; Προσθήκη 5072/2023, Άρθρο 86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7" w:history="1">
        <w:r>
          <w:rPr>
            <w:rStyle w:val="Hyperlink"/>
            <w:color w:val="0000EE"/>
            <w:u w:color="0000EE"/>
            <w:lang w:val="el" w:eastAsia="el"/>
          </w:rPr>
          <w:t>Τροποποίηση 5222/2025, Άρθρο 247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8" w:history="1">
        <w:r>
          <w:rPr>
            <w:rStyle w:val="Hyperlink"/>
            <w:color w:val="0000EE"/>
            <w:u w:color="0000EE"/>
            <w:lang w:val="el" w:eastAsia="el"/>
          </w:rPr>
          <w:t>Τροποποίηση 4818/2021, Άρθρο 38</w:t>
        </w:r>
      </w:hyperlink>
      <w:r>
        <w:rPr>
          <w:lang w:val="el" w:eastAsia="el"/>
        </w:rPr>
        <w:t xml:space="preserve">; </w:t>
      </w:r>
      <w:hyperlink r:id="rId90" w:anchor="art_83" w:history="1">
        <w:r>
          <w:rPr>
            <w:rStyle w:val="Hyperlink"/>
            <w:color w:val="0000EE"/>
            <w:u w:color="0000EE"/>
            <w:lang w:val="el" w:eastAsia="el"/>
          </w:rPr>
          <w:t>Τροποποίηση 4764/2020, Άρθρο 83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8" w:history="1">
        <w:r>
          <w:rPr>
            <w:rStyle w:val="Hyperlink"/>
            <w:color w:val="0000EE"/>
            <w:u w:color="0000EE"/>
            <w:lang w:val="el" w:eastAsia="el"/>
          </w:rPr>
          <w:t>Τροποποίηση 4818/2021,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8" w:history="1">
        <w:r>
          <w:rPr>
            <w:rStyle w:val="Hyperlink"/>
            <w:color w:val="0000EE"/>
            <w:u w:color="0000EE"/>
            <w:lang w:val="el" w:eastAsia="el"/>
          </w:rPr>
          <w:t>Τροποποίηση 4818/2021, Άρθρο 38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8" w:history="1">
        <w:r>
          <w:rPr>
            <w:rStyle w:val="Hyperlink"/>
            <w:color w:val="0000EE"/>
            <w:u w:color="0000EE"/>
            <w:lang w:val="el" w:eastAsia="el"/>
          </w:rPr>
          <w:t>Τροποποίηση 4818/2021, Άρθρο 38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8" w:history="1">
        <w:r>
          <w:rPr>
            <w:rStyle w:val="Hyperlink"/>
            <w:color w:val="0000EE"/>
            <w:u w:color="0000EE"/>
            <w:lang w:val="el" w:eastAsia="el"/>
          </w:rPr>
          <w:t>Τροποποίηση 4818/2021, Άρθρο 38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103</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8" w:history="1">
        <w:r>
          <w:rPr>
            <w:rStyle w:val="Hyperlink"/>
            <w:color w:val="0000EE"/>
            <w:u w:color="0000EE"/>
            <w:lang w:val="el" w:eastAsia="el"/>
          </w:rPr>
          <w:t>Τροποποίηση 4818/2021, Άρθρο 38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8" w:history="1">
        <w:r>
          <w:rPr>
            <w:rStyle w:val="Hyperlink"/>
            <w:color w:val="0000EE"/>
            <w:u w:color="0000EE"/>
            <w:lang w:val="el" w:eastAsia="el"/>
          </w:rPr>
          <w:t>Τροποποίηση 4818/2021, Άρθρο 38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8" w:history="1">
        <w:r>
          <w:rPr>
            <w:rStyle w:val="Hyperlink"/>
            <w:color w:val="0000EE"/>
            <w:u w:color="0000EE"/>
            <w:lang w:val="el" w:eastAsia="el"/>
          </w:rPr>
          <w:t>Τροποποίηση 4818/2021, Άρθρο 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8" w:history="1">
        <w:r>
          <w:rPr>
            <w:rStyle w:val="Hyperlink"/>
            <w:color w:val="0000EE"/>
            <w:u w:color="0000EE"/>
            <w:lang w:val="el" w:eastAsia="el"/>
          </w:rPr>
          <w:t>Τροποποίηση 4818/2021, Άρθρο 38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8" w:history="1">
        <w:r>
          <w:rPr>
            <w:rStyle w:val="Hyperlink"/>
            <w:color w:val="0000EE"/>
            <w:u w:color="0000EE"/>
            <w:lang w:val="el" w:eastAsia="el"/>
          </w:rPr>
          <w:t>Τροποποίηση 4818/2021, Άρθρο 38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8" w:history="1">
        <w:r>
          <w:rPr>
            <w:rStyle w:val="Hyperlink"/>
            <w:color w:val="0000EE"/>
            <w:u w:color="0000EE"/>
            <w:lang w:val="el" w:eastAsia="el"/>
          </w:rPr>
          <w:t>Τροποποίηση 4818/2021, Άρθρο 38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5" w:history="1">
        <w:r>
          <w:rPr>
            <w:rStyle w:val="Hyperlink"/>
            <w:color w:val="0000EE"/>
            <w:u w:color="0000EE"/>
            <w:lang w:val="el" w:eastAsia="el"/>
          </w:rPr>
          <w:t>Τροποποίηση 4821/2021, Άρθρο 75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5" w:history="1">
        <w:r>
          <w:rPr>
            <w:rStyle w:val="Hyperlink"/>
            <w:color w:val="0000EE"/>
            <w:u w:color="0000EE"/>
            <w:lang w:val="el" w:eastAsia="el"/>
          </w:rPr>
          <w:t>Τροποποίηση 4821/2021, Άρθρο 75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5" w:history="1">
        <w:r>
          <w:rPr>
            <w:rStyle w:val="Hyperlink"/>
            <w:color w:val="0000EE"/>
            <w:u w:color="0000EE"/>
            <w:lang w:val="el" w:eastAsia="el"/>
          </w:rPr>
          <w:t>Τροποποίηση 4821/2021, Άρθρο 75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5" w:history="1">
        <w:r>
          <w:rPr>
            <w:rStyle w:val="Hyperlink"/>
            <w:color w:val="0000EE"/>
            <w:u w:color="0000EE"/>
            <w:lang w:val="el" w:eastAsia="el"/>
          </w:rPr>
          <w:t>Τροποποίηση 4821/2021, Άρθρο 75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75" w:history="1">
        <w:r>
          <w:rPr>
            <w:rStyle w:val="Hyperlink"/>
            <w:color w:val="0000EE"/>
            <w:u w:color="0000EE"/>
            <w:lang w:val="el" w:eastAsia="el"/>
          </w:rPr>
          <w:t>Τροποποίηση 4821/2021, Άρθρο 75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75" w:history="1">
        <w:r>
          <w:rPr>
            <w:rStyle w:val="Hyperlink"/>
            <w:color w:val="0000EE"/>
            <w:u w:color="0000EE"/>
            <w:lang w:val="el" w:eastAsia="el"/>
          </w:rPr>
          <w:t>Τροποποίηση 4821/2021, Άρθρο 75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75" w:history="1">
        <w:r>
          <w:rPr>
            <w:rStyle w:val="Hyperlink"/>
            <w:color w:val="0000EE"/>
            <w:u w:color="0000EE"/>
            <w:lang w:val="el" w:eastAsia="el"/>
          </w:rPr>
          <w:t>Τροποποίηση 4821/2021, Άρθρο 75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75" w:history="1">
        <w:r>
          <w:rPr>
            <w:rStyle w:val="Hyperlink"/>
            <w:color w:val="0000EE"/>
            <w:u w:color="0000EE"/>
            <w:lang w:val="el" w:eastAsia="el"/>
          </w:rPr>
          <w:t>Τροποποίηση 4821/2021, Άρθρο 75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75" w:history="1">
        <w:r>
          <w:rPr>
            <w:rStyle w:val="Hyperlink"/>
            <w:color w:val="0000EE"/>
            <w:u w:color="0000EE"/>
            <w:lang w:val="el" w:eastAsia="el"/>
          </w:rPr>
          <w:t>Τροποποίηση 4821/2021, Άρθρο 75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9" w:history="1">
        <w:r>
          <w:rPr>
            <w:rStyle w:val="Hyperlink"/>
            <w:color w:val="0000EE"/>
            <w:u w:color="0000EE"/>
            <w:lang w:val="el" w:eastAsia="el"/>
          </w:rPr>
          <w:t>Προσθήκη 4850/2021, Άρθρο 109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75" w:history="1">
        <w:r>
          <w:rPr>
            <w:rStyle w:val="Hyperlink"/>
            <w:color w:val="0000EE"/>
            <w:u w:color="0000EE"/>
            <w:lang w:val="el" w:eastAsia="el"/>
          </w:rPr>
          <w:t>Προσθήκη 4821/2021, Άρθρο 75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75" w:history="1">
        <w:r>
          <w:rPr>
            <w:rStyle w:val="Hyperlink"/>
            <w:color w:val="0000EE"/>
            <w:u w:color="0000EE"/>
            <w:lang w:val="el" w:eastAsia="el"/>
          </w:rPr>
          <w:t>Τροποποίηση 4821/2021, Άρθρο 75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113" w:anchor="art_75" w:history="1">
        <w:r>
          <w:rPr>
            <w:rStyle w:val="Hyperlink"/>
            <w:color w:val="0000EE"/>
            <w:u w:color="0000EE"/>
            <w:lang w:val="el" w:eastAsia="el"/>
          </w:rPr>
          <w:t>Τροποποίηση 4821/2021, Άρθρο 75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75" w:history="1">
        <w:r>
          <w:rPr>
            <w:rStyle w:val="Hyperlink"/>
            <w:color w:val="0000EE"/>
            <w:u w:color="0000EE"/>
            <w:lang w:val="el" w:eastAsia="el"/>
          </w:rPr>
          <w:t>Τροποποίηση 4821/2021, Άρθρο 75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75" w:history="1">
        <w:r>
          <w:rPr>
            <w:rStyle w:val="Hyperlink"/>
            <w:color w:val="0000EE"/>
            <w:u w:color="0000EE"/>
            <w:lang w:val="el" w:eastAsia="el"/>
          </w:rPr>
          <w:t>Τροποποίηση 4821/2021, Άρθρο 75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5" w:history="1">
        <w:r>
          <w:rPr>
            <w:rStyle w:val="Hyperlink"/>
            <w:color w:val="0000EE"/>
            <w:u w:color="0000EE"/>
            <w:lang w:val="el" w:eastAsia="el"/>
          </w:rPr>
          <w:t>Τροποποίηση 5024/2023,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5024/2023,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5" w:history="1">
        <w:r>
          <w:rPr>
            <w:rStyle w:val="Hyperlink"/>
            <w:color w:val="0000EE"/>
            <w:u w:color="0000EE"/>
            <w:lang w:val="el" w:eastAsia="el"/>
          </w:rPr>
          <w:t>Προσθήκη 5024/2023,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8" w:history="1">
        <w:r>
          <w:rPr>
            <w:rStyle w:val="Hyperlink"/>
            <w:color w:val="0000EE"/>
            <w:u w:color="0000EE"/>
            <w:lang w:val="el" w:eastAsia="el"/>
          </w:rPr>
          <w:t>Τροποποίηση 4818/2021, Άρθρο 38</w:t>
        </w:r>
      </w:hyperlink>
      <w:r>
        <w:rPr>
          <w:lang w:val="el" w:eastAsia="el"/>
        </w:rPr>
        <w:t xml:space="preserve">; </w:t>
      </w:r>
      <w:hyperlink r:id="rId120"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18/4818" TargetMode="External" /><Relationship Id="rId101" Type="http://schemas.openxmlformats.org/officeDocument/2006/relationships/hyperlink" Target="http://data.aade.gr/eli/pri/law/2021/07/31/4821" TargetMode="External" /><Relationship Id="rId102" Type="http://schemas.openxmlformats.org/officeDocument/2006/relationships/hyperlink" Target="http://data.aade.gr/eli/pri/law/2021/07/31/4821" TargetMode="External" /><Relationship Id="rId103" Type="http://schemas.openxmlformats.org/officeDocument/2006/relationships/hyperlink" Target="http://data.aade.gr/eli/pri/law/2021/07/31/4821" TargetMode="External" /><Relationship Id="rId104" Type="http://schemas.openxmlformats.org/officeDocument/2006/relationships/hyperlink" Target="http://data.aade.gr/eli/pri/law/2021/07/31/4821" TargetMode="External" /><Relationship Id="rId105" Type="http://schemas.openxmlformats.org/officeDocument/2006/relationships/hyperlink" Target="http://data.aade.gr/eli/pri/law/2021/07/31/4821" TargetMode="External" /><Relationship Id="rId106" Type="http://schemas.openxmlformats.org/officeDocument/2006/relationships/hyperlink" Target="http://data.aade.gr/eli/pri/law/2021/07/31/4821" TargetMode="External" /><Relationship Id="rId107" Type="http://schemas.openxmlformats.org/officeDocument/2006/relationships/hyperlink" Target="http://data.aade.gr/eli/pri/law/2021/07/31/4821" TargetMode="External" /><Relationship Id="rId108" Type="http://schemas.openxmlformats.org/officeDocument/2006/relationships/hyperlink" Target="http://data.aade.gr/eli/pri/law/2021/07/31/4821" TargetMode="External" /><Relationship Id="rId109" Type="http://schemas.openxmlformats.org/officeDocument/2006/relationships/hyperlink" Target="http://data.aade.gr/eli/pri/law/2021/07/31/4821" TargetMode="External" /><Relationship Id="rId11" Type="http://schemas.openxmlformats.org/officeDocument/2006/relationships/hyperlink" Target="http://data.aade.gr/eli/pri/law/2021/07/18/4818" TargetMode="External" /><Relationship Id="rId110" Type="http://schemas.openxmlformats.org/officeDocument/2006/relationships/hyperlink" Target="http://data.aade.gr/eli/pri/law/2021/11/05/4850" TargetMode="External" /><Relationship Id="rId111" Type="http://schemas.openxmlformats.org/officeDocument/2006/relationships/hyperlink" Target="http://data.aade.gr/eli/pri/law/2021/07/31/4821" TargetMode="External" /><Relationship Id="rId112" Type="http://schemas.openxmlformats.org/officeDocument/2006/relationships/hyperlink" Target="http://data.aade.gr/eli/pri/law/2021/07/31/4821" TargetMode="External" /><Relationship Id="rId113" Type="http://schemas.openxmlformats.org/officeDocument/2006/relationships/hyperlink" Target="http://data.aade.gr/eli/pri/law/2021/07/31/4821" TargetMode="External" /><Relationship Id="rId114" Type="http://schemas.openxmlformats.org/officeDocument/2006/relationships/hyperlink" Target="http://data.aade.gr/eli/pri/law/2021/07/31/4821" TargetMode="External" /><Relationship Id="rId115" Type="http://schemas.openxmlformats.org/officeDocument/2006/relationships/hyperlink" Target="http://data.aade.gr/eli/pri/law/2021/07/31/4821" TargetMode="External" /><Relationship Id="rId116" Type="http://schemas.openxmlformats.org/officeDocument/2006/relationships/hyperlink" Target="http://data.aade.gr/eli/pri/law/2023/04/24/5024" TargetMode="External" /><Relationship Id="rId117" Type="http://schemas.openxmlformats.org/officeDocument/2006/relationships/hyperlink" Target="http://data.aade.gr/eli/pri/law/2023/04/24/5024" TargetMode="External" /><Relationship Id="rId118" Type="http://schemas.openxmlformats.org/officeDocument/2006/relationships/hyperlink" Target="http://data.aade.gr/eli/pri/law/2023/04/24/5024"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0/12/23/4764"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5/04/11/5193" TargetMode="External" /><Relationship Id="rId19" Type="http://schemas.openxmlformats.org/officeDocument/2006/relationships/hyperlink" Target="http://data.aade.gr/eli/pri/law/2025/04/11/5193"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5/04/11/5193" TargetMode="External" /><Relationship Id="rId21" Type="http://schemas.openxmlformats.org/officeDocument/2006/relationships/hyperlink" Target="http://data.aade.gr/eli/pri/law/2025/04/11/5193" TargetMode="External" /><Relationship Id="rId22" Type="http://schemas.openxmlformats.org/officeDocument/2006/relationships/hyperlink" Target="http://data.aade.gr/eli/pri/law/2025/04/11/5193" TargetMode="External" /><Relationship Id="rId23" Type="http://schemas.openxmlformats.org/officeDocument/2006/relationships/hyperlink" Target="http://data.aade.gr/eli/pri/law/2025/04/11/5193" TargetMode="External" /><Relationship Id="rId24" Type="http://schemas.openxmlformats.org/officeDocument/2006/relationships/hyperlink" Target="http://data.aade.gr/eli/pri/law/2025/04/11/5193" TargetMode="External" /><Relationship Id="rId25" Type="http://schemas.openxmlformats.org/officeDocument/2006/relationships/hyperlink" Target="http://data.aade.gr/eli/pri/law/2023/04/24/5024"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1/07/31/4821" TargetMode="External" /><Relationship Id="rId28" Type="http://schemas.openxmlformats.org/officeDocument/2006/relationships/hyperlink" Target="http://data.aade.gr/eli/pri/law/2023/04/24/5024" TargetMode="External" /><Relationship Id="rId29" Type="http://schemas.openxmlformats.org/officeDocument/2006/relationships/hyperlink" Target="http://data.aade.gr/eli/pri/law/2021/07/31/4821"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3/04/24/5024"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3/04/24/5024"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5/04/11/5193"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3/04/24/5024" TargetMode="External" /><Relationship Id="rId51" Type="http://schemas.openxmlformats.org/officeDocument/2006/relationships/hyperlink" Target="http://data.aade.gr/eli/pri/law/2023/04/24/5024"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4/04/19/5104" TargetMode="External" /><Relationship Id="rId54" Type="http://schemas.openxmlformats.org/officeDocument/2006/relationships/hyperlink" Target="http://data.aade.gr/eli/pri/law/2024/04/19/5104" TargetMode="External" /><Relationship Id="rId55" Type="http://schemas.openxmlformats.org/officeDocument/2006/relationships/hyperlink" Target="http://data.aade.gr/eli/pri/law/2024/04/19/5104" TargetMode="External" /><Relationship Id="rId56" Type="http://schemas.openxmlformats.org/officeDocument/2006/relationships/hyperlink" Target="http://data.aade.gr/eli/pri/law/2024/04/19/5104"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1/07/18/4818" TargetMode="External" /><Relationship Id="rId67" Type="http://schemas.openxmlformats.org/officeDocument/2006/relationships/hyperlink" Target="http://data.aade.gr/eli/pri/law/2021/07/18/4818" TargetMode="External" /><Relationship Id="rId68" Type="http://schemas.openxmlformats.org/officeDocument/2006/relationships/hyperlink" Target="http://data.aade.gr/eli/pri/law/2021/07/18/4818" TargetMode="External" /><Relationship Id="rId69" Type="http://schemas.openxmlformats.org/officeDocument/2006/relationships/hyperlink" Target="http://data.aade.gr/eli/pri/law/2021/07/18/4818"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1/07/18/4818"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18/4818" TargetMode="External" /><Relationship Id="rId83" Type="http://schemas.openxmlformats.org/officeDocument/2006/relationships/hyperlink" Target="http://data.aade.gr/eli/pri/law/2021/07/18/4818" TargetMode="External" /><Relationship Id="rId84" Type="http://schemas.openxmlformats.org/officeDocument/2006/relationships/hyperlink" Target="http://data.aade.gr/eli/pri/law/2023/04/24/5024" TargetMode="External" /><Relationship Id="rId85" Type="http://schemas.openxmlformats.org/officeDocument/2006/relationships/hyperlink" Target="http://data.aade.gr/eli/pri/law/2023/04/24/5024" TargetMode="External" /><Relationship Id="rId86" Type="http://schemas.openxmlformats.org/officeDocument/2006/relationships/hyperlink" Target="http://data.aade.gr/eli/pri/law/2023/04/24/5024" TargetMode="External" /><Relationship Id="rId87" Type="http://schemas.openxmlformats.org/officeDocument/2006/relationships/hyperlink" Target="http://data.aade.gr/eli/pri/law/2025/04/11/5193" TargetMode="External" /><Relationship Id="rId88" Type="http://schemas.openxmlformats.org/officeDocument/2006/relationships/hyperlink" Target="http://data.aade.gr/eli/pri/law/2025/07/28/5222" TargetMode="External" /><Relationship Id="rId89" Type="http://schemas.openxmlformats.org/officeDocument/2006/relationships/hyperlink" Target="http://data.aade.gr/eli/pri/law/2021/07/18/4818"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0/12/23/4764" TargetMode="External" /><Relationship Id="rId91" Type="http://schemas.openxmlformats.org/officeDocument/2006/relationships/hyperlink" Target="http://data.aade.gr/eli/pri/law/2021/07/18/4818" TargetMode="External" /><Relationship Id="rId92" Type="http://schemas.openxmlformats.org/officeDocument/2006/relationships/hyperlink" Target="http://data.aade.gr/eli/pri/law/2021/07/18/4818" TargetMode="External" /><Relationship Id="rId93" Type="http://schemas.openxmlformats.org/officeDocument/2006/relationships/hyperlink" Target="http://data.aade.gr/eli/pri/law/2021/07/18/4818" TargetMode="External" /><Relationship Id="rId94" Type="http://schemas.openxmlformats.org/officeDocument/2006/relationships/hyperlink" Target="http://data.aade.gr/eli/pri/law/2021/07/18/4818" TargetMode="External" /><Relationship Id="rId95" Type="http://schemas.openxmlformats.org/officeDocument/2006/relationships/hyperlink" Target="http://data.aade.gr/eli/pri/law/2021/07/18/4818" TargetMode="External" /><Relationship Id="rId96" Type="http://schemas.openxmlformats.org/officeDocument/2006/relationships/hyperlink" Target="http://data.aade.gr/eli/pri/law/2021/07/18/4818" TargetMode="External" /><Relationship Id="rId97" Type="http://schemas.openxmlformats.org/officeDocument/2006/relationships/hyperlink" Target="http://data.aade.gr/eli/pri/law/2021/07/18/4818" TargetMode="External" /><Relationship Id="rId98" Type="http://schemas.openxmlformats.org/officeDocument/2006/relationships/hyperlink" Target="http://data.aade.gr/eli/pri/law/2021/07/18/4818" TargetMode="External" /><Relationship Id="rId9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