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4819/2021</w:t>
      </w:r>
    </w:p>
    <w:p>
      <w:pPr>
        <w:pStyle w:val="PreambelText"/>
        <w:spacing w:before="240" w:after="240"/>
        <w:rPr>
          <w:lang w:val="el" w:eastAsia="el"/>
        </w:rPr>
      </w:pPr>
      <w:r>
        <w:rPr>
          <w:lang w:val="el" w:eastAsia="el"/>
        </w:rPr>
        <w:t>ΝΟΜΟΣ ΥΠ’ ΑΡΙΘΜ. 4819</w:t>
      </w:r>
    </w:p>
    <w:p>
      <w:pPr>
        <w:pStyle w:val="PreambelText"/>
        <w:spacing w:before="240" w:after="240"/>
        <w:rPr>
          <w:lang w:val="el" w:eastAsia="el"/>
        </w:rPr>
      </w:pPr>
      <w:r>
        <w:rPr>
          <w:lang w:val="el" w:eastAsia="el"/>
        </w:rPr>
        <w:t>(ΦΕΚ Α' 129/23-07-2021)</w:t>
      </w:r>
    </w:p>
    <w:p>
      <w:pPr>
        <w:pStyle w:val="PreambelText"/>
        <w:spacing w:before="240" w:after="240"/>
        <w:rPr>
          <w:lang w:val="el" w:eastAsia="el"/>
        </w:rPr>
      </w:pPr>
      <w:r>
        <w:rPr>
          <w:lang w:val="el" w:eastAsia="el"/>
        </w:rPr>
        <w:t>Ολοκληρωμένο πλαίσιο για τη διαχείριση των αποβλήτων -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Μέτρα διαχείρισης των πλαστικών σακουλών μεταφοράς (Παρ. 1α του άρθρου 4 της Οδηγίας 94/62/ΕΚ)</w:t>
      </w:r>
    </w:p>
    <w:p>
      <w:pPr>
        <w:pStyle w:val="MainText"/>
        <w:spacing w:before="120" w:after="0"/>
        <w:rPr>
          <w:lang w:val="el" w:eastAsia="el"/>
        </w:rPr>
      </w:pPr>
      <w:r>
        <w:rPr>
          <w:b/>
          <w:bCs/>
          <w:lang w:val="el" w:eastAsia="el"/>
        </w:rPr>
        <w:t>1.</w:t>
      </w:r>
      <w:r>
        <w:rPr>
          <w:lang w:val="el" w:eastAsia="el"/>
        </w:rPr>
        <w:t xml:space="preserve"> Οι παραγωγοί των πλαστικών σακουλών μεταφοράς υποχρεούνται να διαθέτουν στην αγορά τις πλαστικές σακούλες μεταφοράς με σήμανση, η οποία φέρει τον τόπο και την ημερομηνία παραγωγής, καθώς και τον αριθμό του Εθνικού Μητρώου Παραγωγού (ΕΜΠΑ), με ευκρινή τρόπο, ήτοι με χαρακτήρες μεγέθους τουλάχιστον 1,2 χιλιοστών και σε εμφανή θέση στο σώμα της πλαστικής σακούλας. </w:t>
      </w:r>
    </w:p>
    <w:p>
      <w:pPr>
        <w:pStyle w:val="MainText"/>
        <w:spacing w:before="120" w:after="0"/>
        <w:rPr>
          <w:lang w:val="el" w:eastAsia="el"/>
        </w:rPr>
      </w:pPr>
      <w:r>
        <w:rPr>
          <w:b/>
          <w:bCs/>
          <w:lang w:val="el" w:eastAsia="el"/>
        </w:rPr>
        <w:t>2.</w:t>
      </w:r>
      <w:r>
        <w:rPr>
          <w:lang w:val="el" w:eastAsia="el"/>
        </w:rPr>
        <w:t xml:space="preserve"> Επιβάλλεται στους καταναλωτές η καταβολή περιβαλλοντικού τέλους ανά τεμάχιο πλαστικής σακούλας μεταφοράς ανεξαρτήτως πάχους τοιχώματος, με εξαίρεση τις βιοαποδομήσιμες (ή βιοαποικοδομήσιμες) και λιπασματοποιήσιμες πλαστικές σακούλες μεταφοράς της παρ. 15 του άρθρου 77. Το τέλος ορίζεται στο ποσό των επτά (7) λεπτών.</w:t>
      </w:r>
    </w:p>
    <w:p>
      <w:pPr>
        <w:spacing w:before="240" w:after="240"/>
        <w:rPr>
          <w:lang w:val="el" w:eastAsia="el"/>
        </w:rPr>
      </w:pPr>
      <w:r>
        <w:rPr>
          <w:lang w:val="el" w:eastAsia="el"/>
        </w:rPr>
        <w:t>Το ποσό του περιβαλλοντικού τέλους αναγράφεται με τρόπο διακριτό και ευανάγνωστο στα παραστατικά πώλησης προ του Φόρου Προστιθέμενης Αξίας (Φ.Π.Α.). Το περιβαλλοντικό τέλος έχει ανταποδοτικό χαρακτήρα και τα έσοδα από αυτό αποτελούν δημόσιο έσοδο, το οποίο εισπράττεται από την Ανεξάρτητη Αρχή Δημοσίων Εσόδων (Α.Α.Δ.Ε.) και στη συνέχεια αποδίδεται υπέρ του Ε.Ο.ΑΝ..</w:t>
      </w:r>
    </w:p>
    <w:p>
      <w:pPr>
        <w:spacing w:before="240" w:after="240"/>
        <w:rPr>
          <w:lang w:val="el" w:eastAsia="el"/>
        </w:rPr>
      </w:pPr>
      <w:r>
        <w:rPr>
          <w:lang w:val="el" w:eastAsia="el"/>
        </w:rPr>
        <w:t>Αρμόδια για τον έλεγχο της ορθής απόδοσης του περιβαλλοντικού τέλους είναι αποκλειστικά η φορολογική διοίκηση.</w:t>
      </w:r>
    </w:p>
    <w:p>
      <w:pPr>
        <w:spacing w:before="240" w:after="240"/>
        <w:rPr>
          <w:lang w:val="el" w:eastAsia="el"/>
        </w:rPr>
      </w:pPr>
      <w:r>
        <w:rPr>
          <w:lang w:val="el" w:eastAsia="el"/>
        </w:rPr>
        <w:t xml:space="preserve">Η δήλωση απόδοσης περιβαλλοντικού τέλους πλαστικής σακούλας σύμφωνα με την απόφαση της παρ. 2 του άρθρου 92, υποβάλλεται από τα υπόχρεα πρόσωπα στη φορολογική διοίκηση κάθε τρίμηνο, έως την τελευταία ημέρα του μήνα που ακολουθεί την περίοδο στην οποία αφορά. Σε περιπτώσεις ανωτέρας βίας, που επηρεάζουν τη λειτουργία της φορολογικής διοίκησης ή σε περιπτώσεις φυσικών καταστροφών ή άλλων αντίστοιχων εξαιρετικών και δυσμενών συμβάντων που επηρεάζουν φορολογούμενους, με απόφαση του Υπουργού Οικονομικών, μπορεί να ορίζεται διαφορετική προθεσμία για την υποβολή της δήλωσης απόδοσης ή να χορηγείται παράταση της προθεσμίας για την υποβολή της δήλωσης αυτής, καθώς και διαφορετική προθεσμία καταβολής του τέλους. </w:t>
      </w:r>
    </w:p>
    <w:p>
      <w:pPr>
        <w:pStyle w:val="MainText"/>
        <w:spacing w:before="120" w:after="0"/>
        <w:rPr>
          <w:lang w:val="el" w:eastAsia="el"/>
        </w:rPr>
      </w:pPr>
      <w:r>
        <w:rPr>
          <w:b/>
          <w:bCs/>
          <w:lang w:val="el" w:eastAsia="el"/>
        </w:rPr>
        <w:t>3.</w:t>
      </w:r>
      <w:r>
        <w:rPr>
          <w:lang w:val="el" w:eastAsia="el"/>
        </w:rPr>
        <w:t xml:space="preserve"> Για την εφαρμογή του παρόντος ισχύουν τα προβλεπόμενα στην απόφαση της παρ. 3 του άρθρου 92, η οποία εκδίδεται μετά από εισήγηση του Ε.Ο.ΑΝ.. Μέχρι την έκδοση της ως άνω κοινής απόφασης διατηρείται σε ισχύ η υπ’ αριθμ. 180036/952/10.8.2017 κοινή απόφαση των Υπουργών Οικονομίας και Ανάπτυξης, Οικονομικών, Περιβάλλοντος και Ενέργειας και του Διοικητή της Ανεξάρτητης Αρχής Δημοσίων Εσόδων (Β΄ 2812). </w:t>
      </w:r>
    </w:p>
    <w:p>
      <w:pPr>
        <w:pStyle w:val="MainText"/>
        <w:spacing w:before="120" w:after="0"/>
        <w:rPr>
          <w:lang w:val="el" w:eastAsia="el"/>
        </w:rPr>
      </w:pPr>
      <w:r>
        <w:rPr>
          <w:b/>
          <w:bCs/>
          <w:lang w:val="el" w:eastAsia="el"/>
        </w:rPr>
        <w:t>4.</w:t>
      </w:r>
      <w:r>
        <w:rPr>
          <w:lang w:val="el" w:eastAsia="el"/>
        </w:rPr>
        <w:t xml:space="preserve"> Στο τέλος του Παραρτήματος του ν. 4174/2013 (Α΄ 170), προστίθεται η φράση: «περιβαλλοντικό τέλος».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Ακατάσχετο προκαταβολών και ενδιάμεσων πληρωμών στο Πρόγραμμα Στήριξης και Ανάπτυξης Μικρομεσαίων Επιχειρήσεων του Πράσινου Ταμείου</w:t>
      </w:r>
    </w:p>
    <w:p>
      <w:pPr>
        <w:spacing w:before="240" w:after="240"/>
        <w:rPr>
          <w:lang w:val="el" w:eastAsia="el"/>
        </w:rPr>
      </w:pPr>
      <w:r>
        <w:rPr>
          <w:lang w:val="el" w:eastAsia="el"/>
        </w:rPr>
        <w:t xml:space="preserve">Οι προκαταβολές και οι ενδιάμεσες πληρωμές της ενίσχυσης που λαμβάνουν οι μικρομεσαίες επιχειρήσεις, οι οποίες αναγνωρίζονται δικαιούχοι της δράσης «Πρόγραμμα Στήριξης και Ανάπτυξης Μικρομεσαίων Επιχειρήσεων» του Άξονα Προτεραιότητας 6 του Συνεχιζόμενου Χρηματοδοτικού Προγράμματος του Πράσινου Ταμείου «Χρηματοδότηση έργων και δράσεων για την ανάπτυξη βιώσιμων οικονομικών δραστηριοτήτων χαμηλού ανθρακικού αποτυπώματος στις Π.Ε. Κοζάνης και Φλώρινας και στον Δήμο Μεγαλόπολης της Π.Ε. Αρκαδίας», δεν κατάσχονται, δεν υπόκεινται σε κανενός είδους παρακράτηση και δεν συμψηφίζονται με οφειλές του δικαιούχου προς το Ελληνικό Δημόσιο ή τα ασφαλιστικά ταμεία. Στην περίπτωση αυτήν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να υπόκεινται σε παρακράτηση και να συμψηφίζονται με οφειλές του δικαιούχου προς το Ελληνικό δημόσιο ή τα ασφαλιστικά ταμεία και καταβάλλονται με την υποχρεωτική προσκόμιση αποδεικτικών φορολογικής και ασφαλιστικής ενημερότητας. Το συνολικό ποσό που κατάσχεται, παρακρατείται ή συμψηφίζεται σύμφωνα με το τρίτο εδάφιο δεν μπορεί να υπερβαίνει το 30% του ποσού της τελικής πληρωμής. Ο διατάκτης της πληρωμής κατά την έκδοση της απόφασης έγκρισης πληρωμής ορίζει ότι η ενίσχυση αυτή εμπίπτει στις ρυθμίσεις του παρόντος, καθώς και αν η πληρωμή αφορά σε προκαταβολή, ενδιάμεση ή τελική πληρωμή. Σε περίπτωση επιβολής κατάσχεσης σε τραπεζικές καταθέσεις εις χείρας πιστωτικών ιδρυμάτων ως τρίτων, στις οποίες περιλαμβάνονται και οι ως άνω πληρωμές, τα πιστωτικά ιδρύματα εξετάζουν κάθε φορά, αν πληρούνται οι προϋποθέσεις για την επιβολή της κατάσχεσης. Αντίστοιχα ρυθμίζονται οι ενισχύσεις που λαμβάνουν οι μικρομεσαίες επιχειρήσεις, οι οποίες αναγνωρίζονται δικαιούχοι στο πλαίσιο δράσεων Χρηματοδοτικών Προγραμμάτων του Πράσινου Ταμείου, που επιτελούν τον ίδιο σκοπό.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Ιουλίου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ΓΕΩΡΓΙΟΣ ΔΕΝΔΙΑΣ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ΝΙΚΟΛΑΟΣ ΧΑΡΔΑΛΙΑΣ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ΣΠΥΡΙΔΩΝ-ΠΑΝΑΓΙΩΤΗΣ ΛΙΒΑΝΟΣ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Ιουλίου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