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4935/2022</w:t>
      </w:r>
    </w:p>
    <w:p>
      <w:pPr>
        <w:pStyle w:val="PreambelText"/>
        <w:spacing w:before="240" w:after="240"/>
        <w:rPr>
          <w:lang w:val="el" w:eastAsia="el"/>
        </w:rPr>
      </w:pPr>
      <w:r>
        <w:rPr>
          <w:lang w:val="el" w:eastAsia="el"/>
        </w:rPr>
        <w:t>ΝΟΜΟΣ ΥΠ’ ΑΡΙΘΜ. 4935</w:t>
      </w:r>
    </w:p>
    <w:p>
      <w:pPr>
        <w:pStyle w:val="PreambelText"/>
        <w:spacing w:before="240" w:after="240"/>
        <w:rPr>
          <w:lang w:val="el" w:eastAsia="el"/>
        </w:rPr>
      </w:pPr>
      <w:r>
        <w:rPr>
          <w:lang w:val="el" w:eastAsia="el"/>
        </w:rPr>
        <w:t>(ΦΕΚ A' 103/26-05-2022)</w:t>
      </w:r>
    </w:p>
    <w:p>
      <w:pPr>
        <w:pStyle w:val="PreambelText"/>
        <w:spacing w:before="240" w:after="240"/>
        <w:rPr>
          <w:lang w:val="el" w:eastAsia="el"/>
        </w:rPr>
      </w:pPr>
      <w:r>
        <w:rPr>
          <w:lang w:val="el" w:eastAsia="el"/>
        </w:rPr>
        <w:t>Κίνητρα ανάπτυξης επιχειρήσεων, μέσω συνεργασιών και εταιρικών μετασχηματισμών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Κίνητρα για μετασχηματισμούς επιχειρήσεων-Τροποποίηση άρθρου 61 του ν. 4438/2016</w:t>
      </w:r>
    </w:p>
    <w:p>
      <w:pPr>
        <w:pStyle w:val="MainText"/>
        <w:spacing w:before="120" w:after="0"/>
        <w:rPr>
          <w:lang w:val="el" w:eastAsia="el"/>
        </w:rPr>
      </w:pPr>
      <w:r>
        <w:rPr>
          <w:b/>
          <w:bCs/>
          <w:lang w:val="el" w:eastAsia="el"/>
        </w:rPr>
        <w:t>1.</w:t>
      </w:r>
      <w:r>
        <w:rPr>
          <w:lang w:val="el" w:eastAsia="el"/>
        </w:rPr>
        <w:t xml:space="preserve"> Στο άρθρο 61 του ν. 4438/2016 (Α' 220), α) τροποποιείται το πρώτο εδάφιο με την απαλοιφή της πρόβλεψης εξαίρεσης από την απαλλαγή του φόρου συγκέντρωσης κεφαλαίου, β) προστίθεται νέο δεύτερο εδάφιο, ως προς την εφαρμογή των κινήτρων για μετασχηματισμούς επιχειρήσεων του ν. 4172/2013 (Α' 167) και στην περίπτωση του φόρου συγκέντρωσης κεφαλαίου, γ) απαλείφεται το τελευταίο εδάφιο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Κίνητρα για μετασχηματισμούς επιχειρήσεων με τον ν. 4172/2013</w:t>
      </w:r>
    </w:p>
    <w:p>
      <w:pPr>
        <w:spacing w:before="240" w:after="240"/>
        <w:rPr>
          <w:lang w:val="el" w:eastAsia="el"/>
        </w:rPr>
      </w:pPr>
      <w:r>
        <w:rPr>
          <w:lang w:val="el" w:eastAsia="el"/>
        </w:rPr>
        <w:t>Για μετασχηματισμούς κατά τα άρθρα 52 έως και 55 του ν. 4172/2013 (Α' 167), η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του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Γ.Ε.ΜΗ. και η μεταγραφή των σχετικών πράξεων απαλλάσσονται από κάθε φόρο, τέλος χαρτοσήμου ή οποιοδήποτε άλλο τέλος υπέρ του Δημοσίου, καθώς και από κάθε τέλος, εισφορά ή δικαίωμα υπέρ οποιουδήποτε τρίτου. Η απαλλαγή του προηγούμενου εδαφίου εφαρμόζεται και επί του φόρου συγκέντρωσης κεφαλαίου, υπό την προϋπόθεση ότι ο κύκλος εργασιών της νέας εταιρείας, ήτοι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αφαιρουμένων των τυχόν μεταξύ τους συναλλαγών, είναι ίσος ή μεγαλύτερος από το ποσό των τετρακοσίων πενήντα χιλιάδων (450.000) ευρώ. Αναφορικά με τον ΦΠΑ και το φόρο εισοδήματος, εφαρμόζονται οι διατάξεις του Κώδικα ΦΠΑ (ν. 2859/2000) και του Κώδικα Φορολογίας Εισοδήματος (ν. 4172/2013), όπως ισχύουν, αντίστοιχα.».</w:t>
      </w:r>
    </w:p>
    <w:p>
      <w:pPr>
        <w:pStyle w:val="MainText"/>
        <w:spacing w:before="120" w:after="0"/>
        <w:rPr>
          <w:lang w:val="el" w:eastAsia="el"/>
        </w:rPr>
      </w:pPr>
      <w:r>
        <w:rPr>
          <w:b/>
          <w:bCs/>
          <w:lang w:val="el" w:eastAsia="el"/>
        </w:rPr>
        <w:t>2.</w:t>
      </w:r>
      <w:r>
        <w:rPr>
          <w:lang w:val="el" w:eastAsia="el"/>
        </w:rPr>
        <w:t xml:space="preserve"> Η παρ. 1 ισχύει για μετασχηματισμούς των οποίων η διαδικασία αρχίζει μετά την έναρξη ισχύος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