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StructureList1"/>
        <w:spacing w:before="120" w:after="0"/>
        <w:rPr>
          <w:lang w:val="el" w:eastAsia="el"/>
        </w:rPr>
      </w:pPr>
      <w:r>
        <w:rPr>
          <w:lang w:val="el" w:eastAsia="el"/>
        </w:rPr>
        <w:t>ι)</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3Α.</w:t>
      </w:r>
      <w:r>
        <w:rPr>
          <w:lang w:val="el" w:eastAsia="el"/>
        </w:rPr>
        <w:t xml:space="preserve"> Πράξεις ή έγγραφα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κοινοποιούνται ηλεκτρονικά, είτε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3.</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3α.</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 4172/2013,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 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3β.</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(β) συναλλαγές μέσω λογαριασμών και κάθε είδους χρεωστικών ή πιστωτικών καρτών.Οι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 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 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μετά από εισήγηση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Ο χρόνος διαβίβασης, η έκταση εφαρμογής, οι ειδικότερες υποχρεώσεις των οντοτήτων της παρ. 1 και οι εξαιρέσεις από την εφαρμογή της διάταξης για κλάδους δραστηριοτήτων, για όσο χρόνο οι αντίστοιχες επιχειρήσεις δεν διαθέτουν μηχανοργάνωση που επιτρέπει την ηλεκτρονική τήρηση και διαβίβαση δεδομένων και</w:t>
      </w:r>
    </w:p>
    <w:p>
      <w:pPr>
        <w:pStyle w:val="StructureList1"/>
        <w:spacing w:before="120" w:after="0"/>
        <w:rPr>
          <w:lang w:val="el" w:eastAsia="el"/>
        </w:rPr>
      </w:pPr>
      <w:r>
        <w:rPr>
          <w:lang w:val="el" w:eastAsia="el"/>
        </w:rPr>
        <w:t>β)</w:t>
      </w:r>
      <w:r>
        <w:rPr>
          <w:lang w:val="en" w:eastAsia="en"/>
        </w:rPr>
        <w:tab/>
      </w:r>
      <w:r>
        <w:rPr>
          <w:lang w:val="el" w:eastAsia="el"/>
        </w:rPr>
        <w:t>η έναρξη εφαρμογής της παρ. 2, οι εξαιρέσεις από την εφαρμογή της παρ. 2 και τα όρια ανεκτών αποκλίσεων από τον περιορισμό της παρ. 2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Με απόφαση του Διοικητή ορίζονται οι διαδικασίες και οι λεπτομέρειες για την εφαρμογή των υποχρεώσεων των οντοτήτων της παρ. 1.</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15Β</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EFT/POS») που πληρούν τις προϋποθέσεις του άρθρου 15Γ.</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15Γ</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δύναται να ορίζονται οι οντότητες της παρ. 1 που υποβάλλουν στην Ανεξάρτητη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15Δ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 2859/2000, Α' 248), θεωρούνται ότι λαμβάνουν χώρα σε οποιοδήποτε κράτος μέλος.</w:t>
      </w:r>
    </w:p>
    <w:p>
      <w:pPr>
        <w:spacing w:before="240" w:after="240"/>
        <w:rPr>
          <w:lang w:val="el" w:eastAsia="el"/>
        </w:rPr>
      </w:pPr>
      <w:r>
        <w:rPr>
          <w:lang w:val="el" w:eastAsia="el"/>
        </w:rPr>
        <w:t>β. Η υποχρέωση της περ. α' ισχύει, εφόσον σωρευτικά:</w:t>
      </w:r>
    </w:p>
    <w:p>
      <w:pPr>
        <w:spacing w:before="240" w:after="240"/>
        <w:rPr>
          <w:lang w:val="el" w:eastAsia="el"/>
        </w:rPr>
      </w:pPr>
      <w:r>
        <w:rPr>
          <w:lang w:val="el" w:eastAsia="el"/>
        </w:rPr>
        <w:t>βα. 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spacing w:before="240" w:after="240"/>
        <w:rPr>
          <w:lang w:val="el" w:eastAsia="el"/>
        </w:rPr>
      </w:pPr>
      <w:r>
        <w:rPr>
          <w:lang w:val="el" w:eastAsia="el"/>
        </w:rPr>
        <w:t>ββ. 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Ο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spacing w:before="240" w:after="240"/>
        <w:rPr>
          <w:lang w:val="el" w:eastAsia="el"/>
        </w:rPr>
      </w:pPr>
      <w:r>
        <w:rPr>
          <w:lang w:val="el" w:eastAsia="el"/>
        </w:rPr>
        <w:t>γ. 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spacing w:before="240" w:after="240"/>
        <w:rPr>
          <w:lang w:val="el" w:eastAsia="el"/>
        </w:rPr>
      </w:pPr>
      <w:r>
        <w:rPr>
          <w:lang w:val="el" w:eastAsia="el"/>
        </w:rPr>
        <w:t>δ. 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spacing w:before="240" w:after="240"/>
        <w:rPr>
          <w:lang w:val="el" w:eastAsia="el"/>
        </w:rPr>
      </w:pPr>
      <w:r>
        <w:rPr>
          <w:lang w:val="el" w:eastAsia="el"/>
        </w:rPr>
        <w:t>ε. 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spacing w:before="240" w:after="240"/>
        <w:rPr>
          <w:lang w:val="el" w:eastAsia="el"/>
        </w:rPr>
      </w:pPr>
      <w:r>
        <w:rPr>
          <w:lang w:val="el" w:eastAsia="el"/>
        </w:rPr>
        <w:t>β. 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4.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spacing w:before="240" w:after="240"/>
        <w:rPr>
          <w:lang w:val="el" w:eastAsia="el"/>
        </w:rPr>
      </w:pPr>
      <w:r>
        <w:rPr>
          <w:lang w:val="el" w:eastAsia="el"/>
        </w:rPr>
        <w:t>β. 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Διοικητή της ΑΑΔΕ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καταγράφονται με τη χρήση συστημάτων λήψης ή καταγραφής ήχου και εικόνας, για τη διασφάλιση της διαφάνειας της ελεγκτικής διαδικασίας, της αξιοπιστίας του αποδεικτικού υλικού και την αποφυγή της διαφθοράς. Υπεύθυνος επεξεργασίας δεδομένων ορίζεται η Α.Α.Δ.Ε.,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Με απόφαση του Διοικητή, που εκδίδεται μετά από μελέτη εκτίμησης αντικτύπου και μετά από γνώμη της Αρχής Προστασίας Δεδομένων Προσωπικού Χαρακτήρα, ορίζονται:</w:t>
      </w:r>
    </w:p>
    <w:p>
      <w:pPr>
        <w:pStyle w:val="StructureList1"/>
        <w:spacing w:before="120" w:after="0"/>
        <w:rPr>
          <w:lang w:val="el" w:eastAsia="el"/>
        </w:rPr>
      </w:pPr>
      <w:r>
        <w:rPr>
          <w:lang w:val="el" w:eastAsia="el"/>
        </w:rPr>
        <w:t>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β)</w:t>
      </w:r>
      <w:r>
        <w:rPr>
          <w:lang w:val="en" w:eastAsia="en"/>
        </w:rPr>
        <w:tab/>
      </w:r>
      <w:r>
        <w:rPr>
          <w:lang w:val="el" w:eastAsia="el"/>
        </w:rPr>
        <w:t>ο τρόπος εξασφάλισης των δικαιωμάτων των υποκειμένων των δεδομένων, και</w:t>
      </w:r>
    </w:p>
    <w:p>
      <w:pPr>
        <w:pStyle w:val="StructureList1"/>
        <w:spacing w:before="120" w:after="0"/>
        <w:rPr>
          <w:lang w:val="el" w:eastAsia="el"/>
        </w:rPr>
      </w:pPr>
      <w:r>
        <w:rPr>
          <w:lang w:val="el" w:eastAsia="el"/>
        </w:rPr>
        <w:t>γ)</w:t>
      </w:r>
      <w:r>
        <w:rPr>
          <w:lang w:val="en" w:eastAsia="en"/>
        </w:rPr>
        <w:tab/>
      </w:r>
      <w:r>
        <w:rPr>
          <w:lang w:val="el" w:eastAsia="el"/>
        </w:rPr>
        <w:t>κάθε άλλο τεχνικό ή λεπτομερειακό θέμα για την εφαρμογή της παρ. 4.</w:t>
      </w:r>
    </w:p>
    <w:p>
      <w:pPr>
        <w:pStyle w:val="StructureList1"/>
        <w:spacing w:before="120" w:after="0"/>
        <w:rPr>
          <w:lang w:val="el" w:eastAsia="el"/>
        </w:rPr>
      </w:pPr>
      <w:r>
        <w:rPr>
          <w:lang w:val="el" w:eastAsia="el"/>
        </w:rPr>
        <w:t>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4,</w:t>
      </w:r>
    </w:p>
    <w:p>
      <w:pPr>
        <w:pStyle w:val="StructureList1"/>
        <w:spacing w:before="120" w:after="0"/>
        <w:rPr>
          <w:lang w:val="el" w:eastAsia="el"/>
        </w:rPr>
      </w:pPr>
      <w:r>
        <w:rPr>
          <w:lang w:val="el" w:eastAsia="el"/>
        </w:rPr>
        <w:t>ε)</w:t>
      </w:r>
      <w:r>
        <w:rPr>
          <w:lang w:val="en" w:eastAsia="en"/>
        </w:rPr>
        <w:tab/>
      </w:r>
      <w:r>
        <w:rPr>
          <w:lang w:val="el" w:eastAsia="el"/>
        </w:rPr>
        <w:t>οι υπάλληλοι της Α.Α.Δ.Ε. που προσδιορίζονται με βάση τις ειδικότερες αρμοδιότητές τους ή τη θέση τους στον Οργανισμό της Α.Α.Δ.Ε., που παρίστανται κατά την καταγραφή και δεν έχουν δυνατότητα επέμβασης ή διαγραφής στο καταγραφέν υλικό, και οι υπάλληλοι που έχουν πρόσβαση στο οπτικοακουστικό υλικό, οι οποίοι πρέπει να είναι διαφορετικοί από τους υπαλλήλους που διενεργούν την καταγραφή,</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προϋποθέσεις, υπό τις οποίες αποκτούν την πρόσβαση,</w:t>
      </w:r>
    </w:p>
    <w:p>
      <w:pPr>
        <w:pStyle w:val="StructureList1"/>
        <w:spacing w:before="120" w:after="0"/>
        <w:rPr>
          <w:lang w:val="el" w:eastAsia="el"/>
        </w:rPr>
      </w:pPr>
      <w:r>
        <w:rPr>
          <w:lang w:val="el" w:eastAsia="el"/>
        </w:rPr>
        <w:t>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η)</w:t>
      </w:r>
      <w:r>
        <w:rPr>
          <w:lang w:val="en" w:eastAsia="en"/>
        </w:rPr>
        <w:tab/>
      </w:r>
      <w:r>
        <w:rPr>
          <w:lang w:val="el" w:eastAsia="el"/>
        </w:rPr>
        <w:t>η διαδικασία καταστροφής του υλικού.</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21,21Α και 30 του ν. 4557/2018 (Α' 139).</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1Α.</w:t>
      </w:r>
      <w:r>
        <w:rPr>
          <w:b/>
          <w:bCs/>
          <w:lang w:val="el" w:eastAsia="el"/>
        </w:rPr>
        <w:t xml:space="preserve">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MainText"/>
        <w:spacing w:before="120" w:after="0"/>
        <w:rPr>
          <w:lang w:val="el" w:eastAsia="el"/>
        </w:rPr>
      </w:pPr>
      <w:r>
        <w:rPr>
          <w:b/>
          <w:bCs/>
          <w:lang w:val="el" w:eastAsia="el"/>
        </w:rPr>
        <w:t>1Α.</w:t>
      </w:r>
      <w:r>
        <w:rPr>
          <w:b/>
          <w:bCs/>
          <w:lang w:val="el" w:eastAsia="el"/>
        </w:rPr>
        <w:t xml:space="preserve">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σειρά:α) το αρχικό ποσό του φόρου,β) τόκος επί του φόρου,γ) έξοδα είσπραξης,δ) πρόστιμα που σχετίζονται με τον φόρο.Αν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με τη σειρά της παρ. 1.</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r>
        <w:rPr>
          <w:rStyle w:val="Hyperlink"/>
          <w:b/>
          <w:bCs/>
          <w:color w:val="000000"/>
          <w:sz w:val="20"/>
          <w:szCs w:val="20"/>
          <w:u w:val="none" w:color="0000EE"/>
          <w:vertAlign w:val="superscript"/>
          <w:lang w:val="el" w:eastAsia="el"/>
        </w:rPr>
        <w:footnoteReference w:id="34"/>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1Α του άρθρου 31,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1Α.</w:t>
      </w:r>
      <w:r>
        <w:rPr>
          <w:b/>
          <w:bCs/>
          <w:lang w:val="el" w:eastAsia="el"/>
        </w:rPr>
        <w:t xml:space="preserve"> α)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β)</w:t>
      </w:r>
      <w:r>
        <w:rPr>
          <w:b/>
          <w:bCs/>
          <w:lang w:val="en" w:eastAsia="en"/>
        </w:rPr>
        <w:tab/>
      </w:r>
      <w:r>
        <w:rPr>
          <w:b/>
          <w:bCs/>
          <w:lang w:val="el" w:eastAsia="el"/>
        </w:rPr>
        <w:t>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StructureList1"/>
        <w:spacing w:before="120" w:after="0"/>
        <w:rPr>
          <w:lang w:val="el" w:eastAsia="el"/>
        </w:rPr>
      </w:pPr>
      <w:r>
        <w:rPr>
          <w:b/>
          <w:bCs/>
          <w:lang w:val="el" w:eastAsia="el"/>
        </w:rPr>
        <w:t>ιη)</w:t>
      </w:r>
      <w:r>
        <w:rPr>
          <w:b/>
          <w:bCs/>
          <w:lang w:val="en" w:eastAsia="en"/>
        </w:rPr>
        <w:tab/>
      </w:r>
      <w:r>
        <w:rPr>
          <w:b/>
          <w:bCs/>
          <w:lang w:val="el" w:eastAsia="el"/>
        </w:rPr>
        <w:t>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 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 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 ε) δύο χιλιάδες πεντακόσια (2.500) ευρώ, στις περ. ε', ζ', η' και ιδ' της παρ. 1, στ) στο ύψος των προβλεπόμενων προστίμων της περ. β' της παρ. 1 του άρθρου 54ΣΤ,ζ) [Έχει καταργηθεί με την παρ. 4 του άρθρου 101 του ν. 4714/2020, (Α' 148)], 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 θ) εκατό (100) ευρώ, για κάθε παράβαση της περ. ιζ' της παρ. 1. 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 ια) πεντακόσια (500) ευρώ για κάθε παράβαση της περ. ιη) της παρ. 1.</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 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1 του άρθρου 54ΙΑ,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επικράτεια.Για τη διακοπή εκδίδεται κοινή απόφαση του Υπουργού Εθνικής Οικονομίας και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Εθνικής Οικονομίας και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εξής:αα) 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περίπτωσης,αβ)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MainText"/>
        <w:spacing w:before="120" w:after="0"/>
        <w:rPr>
          <w:lang w:val="el" w:eastAsia="el"/>
        </w:rPr>
      </w:pPr>
      <w:r>
        <w:rPr>
          <w:b/>
          <w:bCs/>
          <w:lang w:val="el" w:eastAsia="el"/>
        </w:rPr>
        <w:t>3.</w:t>
      </w:r>
      <w:r>
        <w:rPr>
          <w:b/>
          <w:bCs/>
          <w:lang w:val="el" w:eastAsia="el"/>
        </w:rPr>
        <w:t xml:space="preserve"> Αν, κατόπιν επώνυμης καταγγελίας σε βάρος οντότητας του ν. 4308/2014,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Υπουργείου Προστασίας του Πολίτη, που ασκούν ελεγκτικά καθήκοντα.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b/>
          <w:bCs/>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ευρώ (100 €), ούτε υπερβαίνει τις τρεις χιλιάδες ευρώ (3.000 €).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b/>
          <w:bCs/>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b/>
          <w:bCs/>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b/>
          <w:bCs/>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b/>
          <w:bCs/>
          <w:lang w:val="el" w:eastAsia="el"/>
        </w:rPr>
        <w:t xml:space="preserve"> Με απόφαση του Υπουργού Εθνικής Οικονομίας και Οικονομικών, μετά από εισήγηση του Διοικητή, δύνανται να ορίζονται και άλλες παραβάσεις που συνεπάγονται την καταβολή χρηματικής επιβράβευσης σύμφωνα με τους όρους του παρόντος.</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w:t>
      </w:r>
      <w:r>
        <w:rPr>
          <w:b/>
          <w:bCs/>
          <w:lang w:val="el" w:eastAsia="el"/>
        </w:rPr>
        <w:t xml:space="preserve"> Με απόφαση του Διοικητή καθορίζονται η διαδικασία, ο τρόπος καταβολής της χρηματικής επιβράβευσης, καθώς και κάθε αναγκαίο θέμα για την εφαρμογή του παρόντος.</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54Θ</w:t>
      </w:r>
      <w:r>
        <w:rPr>
          <w:b/>
          <w:bCs/>
          <w:lang w:val="el" w:eastAsia="el"/>
        </w:rPr>
        <w:t xml:space="preserve"> </w:t>
      </w:r>
    </w:p>
    <w:p>
      <w:pPr>
        <w:pStyle w:val="Heading6"/>
        <w:spacing w:before="240" w:after="240"/>
        <w:rPr>
          <w:lang w:val="el" w:eastAsia="el"/>
        </w:rPr>
      </w:pPr>
      <w:r>
        <w:rPr>
          <w:b/>
          <w:bCs/>
          <w:lang w:val="el" w:eastAsia="el"/>
        </w:rPr>
        <w:t>Κυρώσεις για παραβίαση της υποχρέωσης του άρθρου 15Β</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54Ι</w:t>
      </w:r>
      <w:r>
        <w:rPr>
          <w:b/>
          <w:bCs/>
          <w:lang w:val="el" w:eastAsia="el"/>
        </w:rPr>
        <w:t xml:space="preserve">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της παρ. 3β του άρθρου 15</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54ΙΑ</w:t>
      </w:r>
      <w:r>
        <w:rPr>
          <w:b/>
          <w:bCs/>
          <w:lang w:val="el" w:eastAsia="el"/>
        </w:rPr>
        <w:t xml:space="preserve"> </w:t>
      </w:r>
    </w:p>
    <w:p>
      <w:pPr>
        <w:pStyle w:val="Heading6"/>
        <w:spacing w:before="240" w:after="240"/>
        <w:rPr>
          <w:lang w:val="el" w:eastAsia="el"/>
        </w:rPr>
      </w:pPr>
      <w:r>
        <w:rPr>
          <w:b/>
          <w:bCs/>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Εφόσον υπέχουν αντίστοιχη υποχρέωση βάσει του άρθρου 29, επιβάλλεται πρόστιμο στους Δηλούντες Φορείς Εκμετάλλευσης Πλατφόρμας, αν:</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Πωλητή,</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Πωλητή,</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συνεργάζονται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b/>
          <w:bCs/>
          <w:lang w:val="el" w:eastAsia="el"/>
        </w:rPr>
        <w:t>Αν οι Δηλούντες Φορείς Εκμετάλλευσης Πλατφόρμας διαπράξουν την ίδια παράβαση, μέσα σε πέντε (5) έτη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54ΙΒ</w:t>
      </w:r>
      <w:r>
        <w:rPr>
          <w:b/>
          <w:bCs/>
          <w:lang w:val="el" w:eastAsia="el"/>
        </w:rPr>
        <w:t xml:space="preserve"> </w:t>
      </w:r>
    </w:p>
    <w:p>
      <w:pPr>
        <w:pStyle w:val="Heading6"/>
        <w:spacing w:before="240" w:after="240"/>
        <w:rPr>
          <w:lang w:val="el" w:eastAsia="el"/>
        </w:rPr>
      </w:pPr>
      <w:r>
        <w:rPr>
          <w:b/>
          <w:bCs/>
          <w:lang w:val="el" w:eastAsia="el"/>
        </w:rPr>
        <w:t>Κυρώσεις για παραβίαση των υποχρεώσεων του άρθρου 15Γ</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Σε οντότητες της παρ. 1 του άρθρου 15Γ που δεν συμμορφώνονται με τις απαιτήσεις λειτουργίας και διασύνδεσης της Ανεξάρτητης Αρχής Δημοσίων Εσόδων (Α.Α.Δ.Ε.) των τερματικών Ηλεκτρονικής Μεταφοράς Κεφαλαίων στο Σημείο Πώλησης («Electronic Funds Transfer at the point of sale, EFT/POS»),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χίλια (1.000) έως διακόσιες χιλιάδες (200.000) ευρώ. Σε χρήστες των τερματικών «EFT/POS» που δεν συμμορφώνονται με τις απαιτήσεις λειτουργίας και διασύνδεσης με την Α.Α.Δ.Ε.,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διακόσια (200) έως δέκα χιλιάδες (10.000) ευρώ.</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54ΙΓ</w:t>
      </w:r>
      <w:r>
        <w:rPr>
          <w:b/>
          <w:bCs/>
          <w:lang w:val="el" w:eastAsia="el"/>
        </w:rPr>
        <w:t xml:space="preserve"> </w:t>
      </w:r>
    </w:p>
    <w:p>
      <w:pPr>
        <w:pStyle w:val="Heading6"/>
        <w:spacing w:before="240" w:after="240"/>
        <w:rPr>
          <w:lang w:val="el" w:eastAsia="el"/>
        </w:rPr>
      </w:pPr>
      <w:r>
        <w:rPr>
          <w:b/>
          <w:bCs/>
          <w:lang w:val="el" w:eastAsia="el"/>
        </w:rPr>
        <w:t>Κυρώσεις για παράβαση της υποχρέωσης προς ηλεκτρονική διαβίβαση δεδομένων στην Ανεξάρτητη Αρχή Δημοσίων Εσόδων</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Σε οντότητα που παραβιάζει την υποχρέωση της παρ. 1 του άρθρου 15Α παραλείποντας να διαβιβάσει ή διαβιβάζοντας εκπρόθεσμα τα δεδομένα των εκδιδόμενων λογιστικών αρχείων στην Ανεξάρτητη Αρχή Δημοσίων Εσόδων (Α.Α.Δ.Ε.) επιβάλλονται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ως εκδότης, δεν διαβιβάσει συνόψεις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ευρώ (250 €) σε ημερήσια βάση,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διαβιβάσει δεδομένα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δεν διαβιβάσει, ως εκδότης τιμολόγησης ή ως λήπτης αυτοτιμολόγησης, χαρακτηρισμούς δεδομένων εσόδων, με αποτέλεσμα οι χαρακτηρισμοί αυτοί να μην περιληφθούν στην οικεία δήλωση φορολογίας εισοδήματος, πρόστιμο διακοσίων πενήντα ευρώ (250 €) ανά φορολογικό έτος για κάθε παράβαση, εφόσον πρόκειται για υπόχρεο τήρησης απλογραφικού λογιστικού συστήματος, και πρόστιμο πεντακοσίων ευρώ (500 €)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αν διαβιβάσει ως εκδότης σύνοψη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b/>
          <w:bCs/>
          <w:lang w:val="el" w:eastAsia="el"/>
        </w:rPr>
        <w:t>δ)</w:t>
      </w:r>
      <w:r>
        <w:rPr>
          <w:b/>
          <w:bCs/>
          <w:lang w:val="en" w:eastAsia="en"/>
        </w:rPr>
        <w:tab/>
      </w:r>
      <w:r>
        <w:rPr>
          <w:b/>
          <w:bCs/>
          <w:lang w:val="el" w:eastAsia="el"/>
        </w:rPr>
        <w:t>αν δεν διαβιβάσει ψηφιακά παραστατικά διακίνησης,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pPr>
        <w:pStyle w:val="StructureList1"/>
        <w:spacing w:before="120" w:after="0"/>
        <w:rPr>
          <w:lang w:val="el" w:eastAsia="el"/>
        </w:rPr>
      </w:pPr>
      <w:r>
        <w:rPr>
          <w:b/>
          <w:bCs/>
          <w:lang w:val="el" w:eastAsia="el"/>
        </w:rPr>
        <w:t>ε)</w:t>
      </w:r>
      <w:r>
        <w:rPr>
          <w:b/>
          <w:bCs/>
          <w:lang w:val="en" w:eastAsia="en"/>
        </w:rPr>
        <w:tab/>
      </w:r>
      <w:r>
        <w:rPr>
          <w:b/>
          <w:bCs/>
          <w:lang w:val="el" w:eastAsia="el"/>
        </w:rPr>
        <w:t>αν δεν διαβιβάσει λοιπά παραστατικά είσπραξης, επιστροφής ή παραγγελίας, πρόστιμο εκατό ευρώ (100 €) για κάθε παράβαση μη διαβίβασης.</w:t>
      </w:r>
    </w:p>
    <w:p>
      <w:pPr>
        <w:spacing w:before="240" w:after="240"/>
        <w:rPr>
          <w:lang w:val="el" w:eastAsia="el"/>
        </w:rPr>
      </w:pPr>
      <w:r>
        <w:rPr>
          <w:b/>
          <w:bCs/>
          <w:lang w:val="el" w:eastAsia="el"/>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spacing w:before="240" w:after="240"/>
        <w:rPr>
          <w:lang w:val="el" w:eastAsia="el"/>
        </w:rPr>
      </w:pPr>
      <w:r>
        <w:rPr>
          <w:b/>
          <w:bCs/>
          <w:lang w:val="el" w:eastAsia="el"/>
        </w:rPr>
        <w:t>Σε περίπτωση παραβάσεων εκπρόθεσμης διαβίβασης των περ. α), β) και δ) επιβάλλεται πρόστιμο ίσο με το πενήντα τοις εκατό (50%) του αντίστοιχου προστίμου που προβλέπεται σε περίπτωση μη διαβίβασης.</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Αν διαπραχθεί η ίδια παράβαση εντός πέντε (5) ετών από την κοινοποίηση πράξης επιβολής προστίμου της παρ. 1, τα πρόστιμα της παρ. 1 διπλασιάζονται και για κάθε νέα ίδια παράβαση εντός της πενταετίας τετραπλασιάζονται, χωρίς να υπερβαίνουν τα ανώτατα όρια των περ. α), β) και δ) της παρ. 1 ανά φορολογικό έτος. Η Α.Α.Δ.Ε. δύναται να δημοσιοποιεί τα στοιχεία των οντοτήτων που, κατά την έννοια του πρώτου εδαφίου, υποτροπιάζουν ως προς την παράβαση της περ. α) της παρ.1.</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b/>
          <w:bCs/>
          <w:lang w:val="el" w:eastAsia="el"/>
        </w:rPr>
        <w:t xml:space="preserve"> Με απόφαση του Υπουργού Εθνικής Οικονομίας και Οικονομικών μετά από εισήγηση του Διοικητή ορίζονται η έναρξη εφαρμογής και οι οντότητες, στις οποίες εφαρμόζονται οι παρ. 1 και 2.</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Με απόφαση του Διοικητή καθορίζονται η διαδικασία και οι λεπτομέρειες εφαρμογής των κυρώσεων της παρ. 1, οι όροι και οι προϋποθέσεις για τη δημοσιοποίηση των στοιχείων των υπότροπων οντοτήτων της παρ. 2, ο τρόπος, ο χρόνος και το μέσο δημοσιοποίησης, καθώς και κάθε άλλο ειδικότερο θέμα για την εφαρμογή του παρόντος.</w:t>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54ΙΔ</w:t>
      </w:r>
      <w:r>
        <w:rPr>
          <w:b/>
          <w:bCs/>
          <w:lang w:val="el" w:eastAsia="el"/>
        </w:rPr>
        <w:t xml:space="preserve"> </w:t>
      </w:r>
    </w:p>
    <w:p>
      <w:pPr>
        <w:pStyle w:val="Heading6"/>
        <w:spacing w:before="240" w:after="240"/>
        <w:rPr>
          <w:lang w:val="el" w:eastAsia="el"/>
        </w:rPr>
      </w:pPr>
      <w:r>
        <w:rPr>
          <w:b/>
          <w:bCs/>
          <w:lang w:val="el" w:eastAsia="el"/>
        </w:rPr>
        <w:t>Πρόστιμα στους παρόχους υπηρεσιών πληρωμών για παραβίαση των υποχρεώσεων του άρθρου 15Δ</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b/>
          <w:bCs/>
          <w:lang w:val="el" w:eastAsia="el"/>
        </w:rPr>
        <w:t xml:space="preserve"> Στους παρόχους υπηρεσιών πληρωμών που παραβιάζουν το άρθρο 15Δ επιβάλλεται πρόστιμο αν:</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τα αρχεία της παρ. 2 του άρθρου 15Δ,</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τα αρχεία της παρ. 2 του άρθρου 15Δ,</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ελλιπή ή ανακριβή αρχεία της παρ. 2 του άρθρου 15Δ,</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για παροχή πληροφοριών ή για συμπλήρωση ή διόρθωση πληροφοριών ή στοιχείων του άρθρου 15Δ, εντός της τεθείσας προθεσμίας,</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κατά τη διάρκεια ελέγχου για τη συμμόρφωση με τους κανόνες υποβολής των στοιχείων,</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συμμορφώνονται με τις υποχρεώσεις παρόχων υπηρεσιών πληρωμών, σχετικά με δικαιούχους και πληρωμές, σύμφωνα με τις παρ. 2, 3 και 4 του άρθρου 15Δ.</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της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δικαιούχο,</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δικαιούχο,</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w:t>
      </w:r>
    </w:p>
    <w:p>
      <w:pPr>
        <w:spacing w:before="240" w:after="240"/>
        <w:rPr>
          <w:lang w:val="el" w:eastAsia="el"/>
        </w:rPr>
      </w:pPr>
      <w:r>
        <w:rPr>
          <w:b/>
          <w:bCs/>
          <w:lang w:val="el" w:eastAsia="el"/>
        </w:rPr>
        <w:t>Το συνολικό ύψος των πράξεων επιβολής προστίμου ανά έλεγχο συμμόρφωσης για παραβίαση των υποχρεώσεων του άρθρου 15Δ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b/>
          <w:bCs/>
          <w:lang w:val="el" w:eastAsia="el"/>
        </w:rPr>
        <w:t xml:space="preserve"> Αν οι πάροχοι υπηρεσιών πληρωμών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 με την επιφύλαξη του δευτέρου και τρίτου εδαφίου της παρ. 2.</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2Α.</w:t>
      </w:r>
      <w:r>
        <w:rPr>
          <w:b/>
          <w:bCs/>
          <w:lang w:val="el" w:eastAsia="el"/>
        </w:rPr>
        <w:t xml:space="preserve"> Όταν διαπιστώνεται η υποβολή ανακριβών δηλώσεων του άρθρου 47α ή της αντίστοιχης δήλωσης Φ.Π.Α. σε άλλο κράτος μέλος στο πλαίσιο ειδικών καθεστώτων αντίστοιχων των άρθρων 47β, 47γ και 47δ του Κώδικα Φ.Π.Α. (ν. 2859/2000, Α' 248), εφόσον η Ελλάδα είναι κράτος μέλος κατανάλωσης, ή η μη υποβολή τέτοιων δηλώσεων, με συνέπεια τη μη απόδοση ή τη μειωμένη απόδοση Φ.Π.Α., επιβάλλεται πρόστιμο ίσο με το πενήντα τοις εκατό (50%), επί του ποσού του φόρου που θα προέκυπτε από τη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από την κοινοποίηση της πράξης επιβολής, με εξαίρεση τα άρθρα 57 και 59. Για τις διαδικαστικές παραβάσεις του άρθρου 54 και τις λοιπές παραβάσεις του Κώδικα, η απόσβεση του δικαιώματος του Δημοσίου για έκδοση πράξεως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1 Α του άρθρου 54 υπολογίζεται από το τέλος του έτους εντός του οποίου λήγει η νόμιμη προθεσμία καταβολής του φόρου και συμπληρώνεται μετά την πάροδο πέντε (5) ετών από την ημερομηνία αυτή. Η κοινοποίηση της πράξης διενεργείται σύμφωνα με την παρ. 3Α του άρθρου 5.</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MainText"/>
        <w:spacing w:before="120" w:after="0"/>
        <w:rPr>
          <w:lang w:val="el" w:eastAsia="el"/>
        </w:rPr>
      </w:pPr>
      <w:r>
        <w:rPr>
          <w:b/>
          <w:bCs/>
          <w:lang w:val="el" w:eastAsia="el"/>
        </w:rPr>
        <w:t>41.</w:t>
      </w:r>
      <w:r>
        <w:rPr>
          <w:b/>
          <w:bCs/>
          <w:lang w:val="el" w:eastAsia="el"/>
        </w:rPr>
        <w:t xml:space="preserve">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r>
        <w:rPr>
          <w:rStyle w:val="Hyperlink"/>
          <w:b/>
          <w:bCs/>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Προσθήκη 5045/2023, Άρθρο 53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7" w:history="1">
        <w:r>
          <w:rPr>
            <w:rStyle w:val="Hyperlink"/>
            <w:color w:val="0000EE"/>
            <w:u w:color="0000EE"/>
            <w:lang w:val="el" w:eastAsia="el"/>
          </w:rPr>
          <w:t>Προσθήκη 5073/2023, Άρθρο 37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7" w:history="1">
        <w:r>
          <w:rPr>
            <w:rStyle w:val="Hyperlink"/>
            <w:color w:val="0000EE"/>
            <w:u w:color="0000EE"/>
            <w:lang w:val="el" w:eastAsia="el"/>
          </w:rPr>
          <w:t>Τροποποίηση 5073/2023, Άρθρο 37</w:t>
        </w:r>
      </w:hyperlink>
      <w:r>
        <w:rPr>
          <w:lang w:val="el" w:eastAsia="el"/>
        </w:rPr>
        <w:t xml:space="preserve">; </w:t>
      </w:r>
      <w:hyperlink r:id="rId4" w:anchor="art_53" w:history="1">
        <w:r>
          <w:rPr>
            <w:rStyle w:val="Hyperlink"/>
            <w:color w:val="0000EE"/>
            <w:u w:color="0000EE"/>
            <w:lang w:val="el" w:eastAsia="el"/>
          </w:rPr>
          <w:t>Τροποποίηση 5045/2023, Άρθρο 53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3" w:history="1">
        <w:r>
          <w:rPr>
            <w:rStyle w:val="Hyperlink"/>
            <w:color w:val="0000EE"/>
            <w:u w:color="0000EE"/>
            <w:lang w:val="el" w:eastAsia="el"/>
          </w:rPr>
          <w:t>Προσθήκη 5045/2023, Άρθρο 53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Τροποποίηση 5073/2023,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4" w:history="1">
        <w:r>
          <w:rPr>
            <w:rStyle w:val="Hyperlink"/>
            <w:color w:val="0000EE"/>
            <w:u w:color="0000EE"/>
            <w:lang w:val="el" w:eastAsia="el"/>
          </w:rPr>
          <w:t>Τροποποίηση 5036/2023, Άρθρο 14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4" w:history="1">
        <w:r>
          <w:rPr>
            <w:rStyle w:val="Hyperlink"/>
            <w:color w:val="0000EE"/>
            <w:u w:color="0000EE"/>
            <w:lang w:val="el" w:eastAsia="el"/>
          </w:rPr>
          <w:t>Τροποποίηση 5036/2023, Άρθρο 14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5036/2023,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 w:history="1">
        <w:r>
          <w:rPr>
            <w:rStyle w:val="Hyperlink"/>
            <w:color w:val="0000EE"/>
            <w:u w:color="0000EE"/>
            <w:lang w:val="el" w:eastAsia="el"/>
          </w:rPr>
          <w:t>Τροποποίηση 5073/2023, Άρθρο 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 w:history="1">
        <w:r>
          <w:rPr>
            <w:rStyle w:val="Hyperlink"/>
            <w:color w:val="0000EE"/>
            <w:u w:color="0000EE"/>
            <w:lang w:val="el" w:eastAsia="el"/>
          </w:rPr>
          <w:t>Προσθήκη 5073/2023, Άρθρο 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 w:history="1">
        <w:r>
          <w:rPr>
            <w:rStyle w:val="Hyperlink"/>
            <w:color w:val="0000EE"/>
            <w:u w:color="0000EE"/>
            <w:lang w:val="el" w:eastAsia="el"/>
          </w:rPr>
          <w:t>Προσθήκη 5073/2023, Άρθρο 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1" w:history="1">
        <w:r>
          <w:rPr>
            <w:rStyle w:val="Hyperlink"/>
            <w:color w:val="0000EE"/>
            <w:u w:color="0000EE"/>
            <w:lang w:val="el" w:eastAsia="el"/>
          </w:rPr>
          <w:t>Προσθήκη 5036/2023, Άρθρο 41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26; </w:t>
      </w:r>
      <w:hyperlink r:id="rId14" w:anchor="art_41" w:history="1">
        <w:r>
          <w:rPr>
            <w:rStyle w:val="Hyperlink"/>
            <w:color w:val="0000EE"/>
            <w:u w:color="0000EE"/>
            <w:lang w:val="el" w:eastAsia="el"/>
          </w:rPr>
          <w:t>Προσθήκη 5036/2023, Άρθρο 41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1" w:history="1">
        <w:r>
          <w:rPr>
            <w:rStyle w:val="Hyperlink"/>
            <w:color w:val="0000EE"/>
            <w:u w:color="0000EE"/>
            <w:lang w:val="el" w:eastAsia="el"/>
          </w:rPr>
          <w:t>Προσθήκη 5036/2023, Άρθρο 41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Προσθήκη 5073/2023, Άρθρο 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Προσθήκη 5073/2023, Άρθρο 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Προσθήκη 5073/2023, Άρθρο 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Προσθήκη 5073/2023, Άρθρο 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Προσθήκη 5073/2023, Άρθρο 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Προσθήκη 5073/2023, Άρθρο 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5" w:history="1">
        <w:r>
          <w:rPr>
            <w:rStyle w:val="Hyperlink"/>
            <w:color w:val="0000EE"/>
            <w:u w:color="0000EE"/>
            <w:lang w:val="el" w:eastAsia="el"/>
          </w:rPr>
          <w:t>Προσθήκη 5073/2023,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5" w:history="1">
        <w:r>
          <w:rPr>
            <w:rStyle w:val="Hyperlink"/>
            <w:color w:val="0000EE"/>
            <w:u w:color="0000EE"/>
            <w:lang w:val="el" w:eastAsia="el"/>
          </w:rPr>
          <w:t>Προσθήκη 5073/2023, Άρθρο 25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22</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18</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39" w:history="1">
        <w:r>
          <w:rPr>
            <w:rStyle w:val="Hyperlink"/>
            <w:b/>
            <w:bCs/>
            <w:color w:val="0000EE"/>
            <w:u w:color="0000EE"/>
            <w:lang w:val="el" w:eastAsia="el"/>
          </w:rPr>
          <w:t>Προσθήκη 5073/2023, Άρθρο 39</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40" w:history="1">
        <w:r>
          <w:rPr>
            <w:rStyle w:val="Hyperlink"/>
            <w:b/>
            <w:bCs/>
            <w:color w:val="0000EE"/>
            <w:u w:color="0000EE"/>
            <w:lang w:val="el" w:eastAsia="el"/>
          </w:rPr>
          <w:t>Προσθήκη 5073/2023, Άρθρο 40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40" w:history="1">
        <w:r>
          <w:rPr>
            <w:rStyle w:val="Hyperlink"/>
            <w:b/>
            <w:bCs/>
            <w:color w:val="0000EE"/>
            <w:u w:color="0000EE"/>
            <w:lang w:val="el" w:eastAsia="el"/>
          </w:rPr>
          <w:t>Προσθήκη 5073/2023, Άρθρο 40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41" w:history="1">
        <w:r>
          <w:rPr>
            <w:rStyle w:val="Hyperlink"/>
            <w:b/>
            <w:bCs/>
            <w:color w:val="0000EE"/>
            <w:u w:color="0000EE"/>
            <w:lang w:val="el" w:eastAsia="el"/>
          </w:rPr>
          <w:t>Τροποποίηση 5073/2023, Άρθρο 41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5" w:history="1">
        <w:r>
          <w:rPr>
            <w:rStyle w:val="Hyperlink"/>
            <w:b/>
            <w:bCs/>
            <w:color w:val="0000EE"/>
            <w:u w:color="0000EE"/>
            <w:lang w:val="el" w:eastAsia="el"/>
          </w:rPr>
          <w:t>Τροποποίηση 5036/2023, Άρθρο 15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42" w:history="1">
        <w:r>
          <w:rPr>
            <w:rStyle w:val="Hyperlink"/>
            <w:b/>
            <w:bCs/>
            <w:color w:val="0000EE"/>
            <w:u w:color="0000EE"/>
            <w:lang w:val="el" w:eastAsia="el"/>
          </w:rPr>
          <w:t>Προσθήκη 5073/2023, Άρθρο 42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42" w:history="1">
        <w:r>
          <w:rPr>
            <w:rStyle w:val="Hyperlink"/>
            <w:b/>
            <w:bCs/>
            <w:color w:val="0000EE"/>
            <w:u w:color="0000EE"/>
            <w:lang w:val="el" w:eastAsia="el"/>
          </w:rPr>
          <w:t>Προσθήκη 5073/2023, Άρθρο 42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28</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8" w:history="1">
        <w:r>
          <w:rPr>
            <w:rStyle w:val="Hyperlink"/>
            <w:b/>
            <w:bCs/>
            <w:color w:val="0000EE"/>
            <w:u w:color="0000EE"/>
            <w:lang w:val="el" w:eastAsia="el"/>
          </w:rPr>
          <w:t>Προσθήκη 5045/2023, Άρθρο 28</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35" w:history="1">
        <w:r>
          <w:rPr>
            <w:rStyle w:val="Hyperlink"/>
            <w:b/>
            <w:bCs/>
            <w:color w:val="0000EE"/>
            <w:u w:color="0000EE"/>
            <w:lang w:val="el" w:eastAsia="el"/>
          </w:rPr>
          <w:t>Τροποποίηση 5036/2023, Άρθρο 35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 w:history="1">
        <w:r>
          <w:rPr>
            <w:rStyle w:val="Hyperlink"/>
            <w:b/>
            <w:bCs/>
            <w:color w:val="0000EE"/>
            <w:u w:color="0000EE"/>
            <w:lang w:val="el" w:eastAsia="el"/>
          </w:rPr>
          <w:t>Τροποποίηση 5073/2023, Άρθρο 6</w:t>
        </w:r>
      </w:hyperlink>
      <w:r>
        <w:rPr>
          <w:b/>
          <w:bCs/>
          <w:lang w:val="el" w:eastAsia="el"/>
        </w:rPr>
        <w:t xml:space="preserve">; </w:t>
      </w:r>
      <w:hyperlink r:id="rId34" w:anchor="art_16" w:history="1">
        <w:r>
          <w:rPr>
            <w:rStyle w:val="Hyperlink"/>
            <w:b/>
            <w:bCs/>
            <w:color w:val="0000EE"/>
            <w:u w:color="0000EE"/>
            <w:lang w:val="el" w:eastAsia="el"/>
          </w:rPr>
          <w:t>Τροποποίηση 5036/2023, Άρθρο 16</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6" w:history="1">
        <w:r>
          <w:rPr>
            <w:rStyle w:val="Hyperlink"/>
            <w:b/>
            <w:bCs/>
            <w:color w:val="0000EE"/>
            <w:u w:color="0000EE"/>
            <w:lang w:val="el" w:eastAsia="el"/>
          </w:rPr>
          <w:t>Τροποποίηση 5073/2023, Άρθρο 6</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6" w:history="1">
        <w:r>
          <w:rPr>
            <w:rStyle w:val="Hyperlink"/>
            <w:b/>
            <w:bCs/>
            <w:color w:val="0000EE"/>
            <w:u w:color="0000EE"/>
            <w:lang w:val="el" w:eastAsia="el"/>
          </w:rPr>
          <w:t>Τροποποίηση 5036/2023, Άρθρο 16</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6" w:history="1">
        <w:r>
          <w:rPr>
            <w:rStyle w:val="Hyperlink"/>
            <w:b/>
            <w:bCs/>
            <w:color w:val="0000EE"/>
            <w:u w:color="0000EE"/>
            <w:lang w:val="el" w:eastAsia="el"/>
          </w:rPr>
          <w:t>Τροποποίηση 5036/2023, Άρθρο 16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6" w:history="1">
        <w:r>
          <w:rPr>
            <w:rStyle w:val="Hyperlink"/>
            <w:b/>
            <w:bCs/>
            <w:color w:val="0000EE"/>
            <w:u w:color="0000EE"/>
            <w:lang w:val="el" w:eastAsia="el"/>
          </w:rPr>
          <w:t>Τροποποίηση 5036/2023, Άρθρο 16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6" w:history="1">
        <w:r>
          <w:rPr>
            <w:rStyle w:val="Hyperlink"/>
            <w:b/>
            <w:bCs/>
            <w:color w:val="0000EE"/>
            <w:u w:color="0000EE"/>
            <w:lang w:val="el" w:eastAsia="el"/>
          </w:rPr>
          <w:t>Τροποποίηση 5073/2023, Άρθρο 26</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7" w:history="1">
        <w:r>
          <w:rPr>
            <w:rStyle w:val="Hyperlink"/>
            <w:b/>
            <w:bCs/>
            <w:color w:val="0000EE"/>
            <w:u w:color="0000EE"/>
            <w:lang w:val="el" w:eastAsia="el"/>
          </w:rPr>
          <w:t>Τροποποίηση 5073/2023,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6" w:history="1">
        <w:r>
          <w:rPr>
            <w:rStyle w:val="Hyperlink"/>
            <w:b/>
            <w:bCs/>
            <w:color w:val="0000EE"/>
            <w:u w:color="0000EE"/>
            <w:lang w:val="el" w:eastAsia="el"/>
          </w:rPr>
          <w:t>Προσθήκη 5073/2023, Άρθρο 26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6" w:history="1">
        <w:r>
          <w:rPr>
            <w:rStyle w:val="Hyperlink"/>
            <w:b/>
            <w:bCs/>
            <w:color w:val="0000EE"/>
            <w:u w:color="0000EE"/>
            <w:lang w:val="el" w:eastAsia="el"/>
          </w:rPr>
          <w:t>Προσθήκη 5073/2023, Άρθρο 26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6" w:history="1">
        <w:r>
          <w:rPr>
            <w:rStyle w:val="Hyperlink"/>
            <w:b/>
            <w:bCs/>
            <w:color w:val="0000EE"/>
            <w:u w:color="0000EE"/>
            <w:lang w:val="el" w:eastAsia="el"/>
          </w:rPr>
          <w:t>Προσθήκη 5073/2023, Άρθρο 26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6" w:history="1">
        <w:r>
          <w:rPr>
            <w:rStyle w:val="Hyperlink"/>
            <w:b/>
            <w:bCs/>
            <w:color w:val="0000EE"/>
            <w:u w:color="0000EE"/>
            <w:lang w:val="el" w:eastAsia="el"/>
          </w:rPr>
          <w:t>Προσθήκη 5073/2023, Άρθρο 26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6" w:history="1">
        <w:r>
          <w:rPr>
            <w:rStyle w:val="Hyperlink"/>
            <w:b/>
            <w:bCs/>
            <w:color w:val="0000EE"/>
            <w:u w:color="0000EE"/>
            <w:lang w:val="el" w:eastAsia="el"/>
          </w:rPr>
          <w:t>Προσθήκη 5073/2023, Άρθρο 26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6" w:history="1">
        <w:r>
          <w:rPr>
            <w:rStyle w:val="Hyperlink"/>
            <w:b/>
            <w:bCs/>
            <w:color w:val="0000EE"/>
            <w:u w:color="0000EE"/>
            <w:lang w:val="el" w:eastAsia="el"/>
          </w:rPr>
          <w:t>Προσθήκη 5073/2023, Άρθρο 26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6" w:history="1">
        <w:r>
          <w:rPr>
            <w:rStyle w:val="Hyperlink"/>
            <w:b/>
            <w:bCs/>
            <w:color w:val="0000EE"/>
            <w:u w:color="0000EE"/>
            <w:lang w:val="el" w:eastAsia="el"/>
          </w:rPr>
          <w:t>Προσθήκη 5073/2023, Άρθρο 26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42" w:history="1">
        <w:r>
          <w:rPr>
            <w:rStyle w:val="Hyperlink"/>
            <w:b/>
            <w:bCs/>
            <w:color w:val="0000EE"/>
            <w:u w:color="0000EE"/>
            <w:lang w:val="el" w:eastAsia="el"/>
          </w:rPr>
          <w:t>Προσθήκη 5036/2023, Άρθρο 42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2" w:history="1">
        <w:r>
          <w:rPr>
            <w:rStyle w:val="Hyperlink"/>
            <w:b/>
            <w:bCs/>
            <w:color w:val="0000EE"/>
            <w:u w:color="0000EE"/>
            <w:lang w:val="el" w:eastAsia="el"/>
          </w:rPr>
          <w:t>Προσθήκη 5036/2023, Άρθρο 42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42" w:history="1">
        <w:r>
          <w:rPr>
            <w:rStyle w:val="Hyperlink"/>
            <w:b/>
            <w:bCs/>
            <w:color w:val="0000EE"/>
            <w:u w:color="0000EE"/>
            <w:lang w:val="el" w:eastAsia="el"/>
          </w:rPr>
          <w:t>Προσθήκη 5036/2023, Άρθρο 42</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40" w:history="1">
        <w:r>
          <w:rPr>
            <w:rStyle w:val="Hyperlink"/>
            <w:b/>
            <w:bCs/>
            <w:color w:val="0000EE"/>
            <w:u w:color="0000EE"/>
            <w:lang w:val="el" w:eastAsia="el"/>
          </w:rPr>
          <w:t>Προσθήκη 5036/2023, Άρθρο 40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40" w:history="1">
        <w:r>
          <w:rPr>
            <w:rStyle w:val="Hyperlink"/>
            <w:b/>
            <w:bCs/>
            <w:color w:val="0000EE"/>
            <w:u w:color="0000EE"/>
            <w:lang w:val="el" w:eastAsia="el"/>
          </w:rPr>
          <w:t>Προσθήκη 5036/2023, Άρθρο 40</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40" w:history="1">
        <w:r>
          <w:rPr>
            <w:rStyle w:val="Hyperlink"/>
            <w:b/>
            <w:bCs/>
            <w:color w:val="0000EE"/>
            <w:u w:color="0000EE"/>
            <w:lang w:val="el" w:eastAsia="el"/>
          </w:rPr>
          <w:t>Προσθήκη 5036/2023, Άρθρο 40</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0" w:history="1">
        <w:r>
          <w:rPr>
            <w:rStyle w:val="Hyperlink"/>
            <w:b/>
            <w:bCs/>
            <w:color w:val="0000EE"/>
            <w:u w:color="0000EE"/>
            <w:lang w:val="el" w:eastAsia="el"/>
          </w:rPr>
          <w:t>Προσθήκη 5036/2023, Άρθρο 40</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29</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29</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8" w:history="1">
        <w:r>
          <w:rPr>
            <w:rStyle w:val="Hyperlink"/>
            <w:b/>
            <w:bCs/>
            <w:color w:val="0000EE"/>
            <w:u w:color="0000EE"/>
            <w:lang w:val="el" w:eastAsia="el"/>
          </w:rPr>
          <w:t>Προσθήκη 5073/2023, Άρθρο 8</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 w:history="1">
        <w:r>
          <w:rPr>
            <w:rStyle w:val="Hyperlink"/>
            <w:b/>
            <w:bCs/>
            <w:color w:val="0000EE"/>
            <w:u w:color="0000EE"/>
            <w:lang w:val="el" w:eastAsia="el"/>
          </w:rPr>
          <w:t>Προσθήκη 5073/2023, Άρθρο 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 w:history="1">
        <w:r>
          <w:rPr>
            <w:rStyle w:val="Hyperlink"/>
            <w:b/>
            <w:bCs/>
            <w:color w:val="0000EE"/>
            <w:u w:color="0000EE"/>
            <w:lang w:val="el" w:eastAsia="el"/>
          </w:rPr>
          <w:t>Προσθήκη 5073/2023, Άρθρο 8</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 w:history="1">
        <w:r>
          <w:rPr>
            <w:rStyle w:val="Hyperlink"/>
            <w:b/>
            <w:bCs/>
            <w:color w:val="0000EE"/>
            <w:u w:color="0000EE"/>
            <w:lang w:val="el" w:eastAsia="el"/>
          </w:rPr>
          <w:t>Προσθήκη 5073/2023, Άρθρο 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 w:history="1">
        <w:r>
          <w:rPr>
            <w:rStyle w:val="Hyperlink"/>
            <w:b/>
            <w:bCs/>
            <w:color w:val="0000EE"/>
            <w:u w:color="0000EE"/>
            <w:lang w:val="el" w:eastAsia="el"/>
          </w:rPr>
          <w:t>Προσθήκη 5073/2023, Άρθρο 8</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 w:history="1">
        <w:r>
          <w:rPr>
            <w:rStyle w:val="Hyperlink"/>
            <w:b/>
            <w:bCs/>
            <w:color w:val="0000EE"/>
            <w:u w:color="0000EE"/>
            <w:lang w:val="el" w:eastAsia="el"/>
          </w:rPr>
          <w:t>Προσθήκη 5073/2023, Άρθρο 9</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9" w:history="1">
        <w:r>
          <w:rPr>
            <w:rStyle w:val="Hyperlink"/>
            <w:b/>
            <w:bCs/>
            <w:color w:val="0000EE"/>
            <w:u w:color="0000EE"/>
            <w:lang w:val="el" w:eastAsia="el"/>
          </w:rPr>
          <w:t>Προσθήκη 5073/2023, Άρθρο 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9" w:history="1">
        <w:r>
          <w:rPr>
            <w:rStyle w:val="Hyperlink"/>
            <w:b/>
            <w:bCs/>
            <w:color w:val="0000EE"/>
            <w:u w:color="0000EE"/>
            <w:lang w:val="el" w:eastAsia="el"/>
          </w:rPr>
          <w:t>Προσθήκη 5073/2023, Άρθρο 9</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43" w:history="1">
        <w:r>
          <w:rPr>
            <w:rStyle w:val="Hyperlink"/>
            <w:b/>
            <w:bCs/>
            <w:color w:val="0000EE"/>
            <w:u w:color="0000EE"/>
            <w:lang w:val="el" w:eastAsia="el"/>
          </w:rPr>
          <w:t>Προσθήκη 5073/2023, Άρθρο 43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44" w:history="1">
        <w:r>
          <w:rPr>
            <w:rStyle w:val="Hyperlink"/>
            <w:b/>
            <w:bCs/>
            <w:color w:val="0000EE"/>
            <w:u w:color="0000EE"/>
            <w:lang w:val="el" w:eastAsia="el"/>
          </w:rPr>
          <w:t>Τροποποίηση 5073/2023, Άρθρο 44</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5" w:history="1">
        <w:r>
          <w:rPr>
            <w:rStyle w:val="Hyperlink"/>
            <w:b/>
            <w:bCs/>
            <w:color w:val="0000EE"/>
            <w:u w:color="0000EE"/>
            <w:lang w:val="el" w:eastAsia="el"/>
          </w:rPr>
          <w:t>Προσθήκη 5036/2023,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7/29/5045" TargetMode="External" /><Relationship Id="rId10" Type="http://schemas.openxmlformats.org/officeDocument/2006/relationships/hyperlink" Target="http://data.aade.gr/eli/pri/law/2023/12/09/5073" TargetMode="External" /><Relationship Id="rId11" Type="http://schemas.openxmlformats.org/officeDocument/2006/relationships/hyperlink" Target="http://data.aade.gr/eli/pri/law/2023/12/09/5073" TargetMode="External" /><Relationship Id="rId12" Type="http://schemas.openxmlformats.org/officeDocument/2006/relationships/hyperlink" Target="http://data.aade.gr/eli/pri/law/2023/12/09/5073" TargetMode="External" /><Relationship Id="rId13" Type="http://schemas.openxmlformats.org/officeDocument/2006/relationships/hyperlink" Target="http://data.aade.gr/eli/pri/law/2023/03/27/5036"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3/03/27/5036" TargetMode="External" /><Relationship Id="rId16" Type="http://schemas.openxmlformats.org/officeDocument/2006/relationships/hyperlink" Target="http://data.aade.gr/eli/pri/law/2023/12/09/5073" TargetMode="External" /><Relationship Id="rId17" Type="http://schemas.openxmlformats.org/officeDocument/2006/relationships/hyperlink" Target="http://data.aade.gr/eli/pri/law/2023/12/09/5073" TargetMode="External" /><Relationship Id="rId18" Type="http://schemas.openxmlformats.org/officeDocument/2006/relationships/hyperlink" Target="http://data.aade.gr/eli/pri/law/2023/12/09/5073" TargetMode="External" /><Relationship Id="rId19" Type="http://schemas.openxmlformats.org/officeDocument/2006/relationships/hyperlink" Target="http://data.aade.gr/eli/pri/law/2023/12/09/5073" TargetMode="External" /><Relationship Id="rId2" Type="http://schemas.openxmlformats.org/officeDocument/2006/relationships/hyperlink" Target="http://data.aade.gr/eli/pri/law/2023/12/09/5073" TargetMode="External" /><Relationship Id="rId20" Type="http://schemas.openxmlformats.org/officeDocument/2006/relationships/hyperlink" Target="http://data.aade.gr/eli/pri/law/2023/12/09/5073" TargetMode="External" /><Relationship Id="rId21" Type="http://schemas.openxmlformats.org/officeDocument/2006/relationships/hyperlink" Target="http://data.aade.gr/eli/pri/law/2023/12/09/5073" TargetMode="External" /><Relationship Id="rId22" Type="http://schemas.openxmlformats.org/officeDocument/2006/relationships/hyperlink" Target="http://data.aade.gr/eli/pri/law/2023/12/09/5073" TargetMode="External" /><Relationship Id="rId23" Type="http://schemas.openxmlformats.org/officeDocument/2006/relationships/hyperlink" Target="http://data.aade.gr/eli/pri/law/2023/12/09/5073" TargetMode="External" /><Relationship Id="rId24" Type="http://schemas.openxmlformats.org/officeDocument/2006/relationships/hyperlink" Target="http://data.aade.gr/eli/pri/law/2023/12/09/5073" TargetMode="External" /><Relationship Id="rId25" Type="http://schemas.openxmlformats.org/officeDocument/2006/relationships/hyperlink" Target="http://data.aade.gr/eli/pri/law/2023/12/09/5073" TargetMode="External" /><Relationship Id="rId26" Type="http://schemas.openxmlformats.org/officeDocument/2006/relationships/hyperlink" Target="http://data.aade.gr/eli/pri/law/2023/12/09/5073" TargetMode="External" /><Relationship Id="rId27" Type="http://schemas.openxmlformats.org/officeDocument/2006/relationships/hyperlink" Target="http://data.aade.gr/eli/pri/law/2023/12/09/5073" TargetMode="External" /><Relationship Id="rId28" Type="http://schemas.openxmlformats.org/officeDocument/2006/relationships/hyperlink" Target="http://data.aade.gr/eli/pri/law/2023/03/27/5036" TargetMode="External" /><Relationship Id="rId29" Type="http://schemas.openxmlformats.org/officeDocument/2006/relationships/hyperlink" Target="http://data.aade.gr/eli/pri/law/2023/12/09/5073" TargetMode="External" /><Relationship Id="rId3" Type="http://schemas.openxmlformats.org/officeDocument/2006/relationships/hyperlink" Target="http://data.aade.gr/eli/pri/law/2023/12/09/5073" TargetMode="External" /><Relationship Id="rId30" Type="http://schemas.openxmlformats.org/officeDocument/2006/relationships/hyperlink" Target="http://data.aade.gr/eli/pri/law/2023/12/09/5073" TargetMode="External" /><Relationship Id="rId31" Type="http://schemas.openxmlformats.org/officeDocument/2006/relationships/hyperlink" Target="http://data.aade.gr/eli/pri/law/2023/07/29/5045" TargetMode="External" /><Relationship Id="rId32" Type="http://schemas.openxmlformats.org/officeDocument/2006/relationships/hyperlink" Target="http://data.aade.gr/eli/pri/law/2023/03/27/5036" TargetMode="External" /><Relationship Id="rId33" Type="http://schemas.openxmlformats.org/officeDocument/2006/relationships/hyperlink" Target="http://data.aade.gr/eli/pri/law/2023/12/09/5073" TargetMode="External" /><Relationship Id="rId34" Type="http://schemas.openxmlformats.org/officeDocument/2006/relationships/hyperlink" Target="http://data.aade.gr/eli/pri/law/2023/03/27/5036" TargetMode="External" /><Relationship Id="rId35" Type="http://schemas.openxmlformats.org/officeDocument/2006/relationships/hyperlink" Target="http://data.aade.gr/eli/pri/law/2023/12/09/5073" TargetMode="External" /><Relationship Id="rId36" Type="http://schemas.openxmlformats.org/officeDocument/2006/relationships/hyperlink" Target="http://data.aade.gr/eli/pri/law/2023/03/27/5036" TargetMode="External" /><Relationship Id="rId37" Type="http://schemas.openxmlformats.org/officeDocument/2006/relationships/hyperlink" Target="http://data.aade.gr/eli/pri/law/2023/03/27/5036" TargetMode="External" /><Relationship Id="rId38" Type="http://schemas.openxmlformats.org/officeDocument/2006/relationships/hyperlink" Target="http://data.aade.gr/eli/pri/law/2023/03/27/5036" TargetMode="External" /><Relationship Id="rId39" Type="http://schemas.openxmlformats.org/officeDocument/2006/relationships/hyperlink" Target="http://data.aade.gr/eli/pri/law/2023/12/09/5073" TargetMode="External" /><Relationship Id="rId4" Type="http://schemas.openxmlformats.org/officeDocument/2006/relationships/hyperlink" Target="http://data.aade.gr/eli/pri/law/2023/07/29/5045" TargetMode="External" /><Relationship Id="rId40" Type="http://schemas.openxmlformats.org/officeDocument/2006/relationships/hyperlink" Target="http://data.aade.gr/eli/pri/law/2023/12/09/5073" TargetMode="External" /><Relationship Id="rId41" Type="http://schemas.openxmlformats.org/officeDocument/2006/relationships/hyperlink" Target="http://data.aade.gr/eli/pri/law/2023/12/09/5073" TargetMode="External" /><Relationship Id="rId42" Type="http://schemas.openxmlformats.org/officeDocument/2006/relationships/hyperlink" Target="http://data.aade.gr/eli/pri/law/2023/12/09/5073" TargetMode="External" /><Relationship Id="rId43" Type="http://schemas.openxmlformats.org/officeDocument/2006/relationships/hyperlink" Target="http://data.aade.gr/eli/pri/law/2023/12/09/5073" TargetMode="External" /><Relationship Id="rId44" Type="http://schemas.openxmlformats.org/officeDocument/2006/relationships/hyperlink" Target="http://data.aade.gr/eli/pri/law/2023/12/09/5073" TargetMode="External" /><Relationship Id="rId45" Type="http://schemas.openxmlformats.org/officeDocument/2006/relationships/hyperlink" Target="http://data.aade.gr/eli/pri/law/2023/12/09/5073" TargetMode="External" /><Relationship Id="rId46" Type="http://schemas.openxmlformats.org/officeDocument/2006/relationships/hyperlink" Target="http://data.aade.gr/eli/pri/law/2023/12/09/5073" TargetMode="External" /><Relationship Id="rId47" Type="http://schemas.openxmlformats.org/officeDocument/2006/relationships/hyperlink" Target="http://data.aade.gr/eli/pri/law/2023/12/09/5073" TargetMode="External" /><Relationship Id="rId48" Type="http://schemas.openxmlformats.org/officeDocument/2006/relationships/hyperlink" Target="http://data.aade.gr/eli/pri/law/2023/03/27/5036" TargetMode="External" /><Relationship Id="rId49" Type="http://schemas.openxmlformats.org/officeDocument/2006/relationships/hyperlink" Target="http://data.aade.gr/eli/pri/law/2023/03/27/5036" TargetMode="External" /><Relationship Id="rId5" Type="http://schemas.openxmlformats.org/officeDocument/2006/relationships/hyperlink" Target="http://data.aade.gr/eli/pri/law/2023/07/29/5045" TargetMode="External" /><Relationship Id="rId50" Type="http://schemas.openxmlformats.org/officeDocument/2006/relationships/hyperlink" Target="http://data.aade.gr/eli/pri/law/2023/03/27/5036" TargetMode="External" /><Relationship Id="rId51" Type="http://schemas.openxmlformats.org/officeDocument/2006/relationships/hyperlink" Target="http://data.aade.gr/eli/pri/law/2023/03/27/5036"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3/03/27/5036" TargetMode="External" /><Relationship Id="rId55" Type="http://schemas.openxmlformats.org/officeDocument/2006/relationships/hyperlink" Target="http://data.aade.gr/eli/pri/law/2023/12/09/5073" TargetMode="External" /><Relationship Id="rId56" Type="http://schemas.openxmlformats.org/officeDocument/2006/relationships/hyperlink" Target="http://data.aade.gr/eli/pri/law/2023/12/09/5073" TargetMode="External" /><Relationship Id="rId57" Type="http://schemas.openxmlformats.org/officeDocument/2006/relationships/hyperlink" Target="http://data.aade.gr/eli/pri/law/2023/12/09/5073" TargetMode="External" /><Relationship Id="rId58" Type="http://schemas.openxmlformats.org/officeDocument/2006/relationships/hyperlink" Target="http://data.aade.gr/eli/pri/law/2023/12/09/5073" TargetMode="External" /><Relationship Id="rId59" Type="http://schemas.openxmlformats.org/officeDocument/2006/relationships/hyperlink" Target="http://data.aade.gr/eli/pri/law/2023/12/09/5073" TargetMode="External" /><Relationship Id="rId6" Type="http://schemas.openxmlformats.org/officeDocument/2006/relationships/hyperlink" Target="http://data.aade.gr/eli/pri/law/2023/12/09/5073" TargetMode="External" /><Relationship Id="rId60" Type="http://schemas.openxmlformats.org/officeDocument/2006/relationships/hyperlink" Target="http://data.aade.gr/eli/pri/law/2023/12/09/5073" TargetMode="External" /><Relationship Id="rId61" Type="http://schemas.openxmlformats.org/officeDocument/2006/relationships/hyperlink" Target="http://data.aade.gr/eli/pri/law/2023/12/09/5073" TargetMode="External" /><Relationship Id="rId62" Type="http://schemas.openxmlformats.org/officeDocument/2006/relationships/hyperlink" Target="http://data.aade.gr/eli/pri/law/2023/12/09/5073" TargetMode="External" /><Relationship Id="rId63" Type="http://schemas.openxmlformats.org/officeDocument/2006/relationships/hyperlink" Target="http://data.aade.gr/eli/pri/law/2023/12/09/5073" TargetMode="External" /><Relationship Id="rId64" Type="http://schemas.openxmlformats.org/officeDocument/2006/relationships/hyperlink" Target="http://data.aade.gr/eli/pri/law/2023/12/09/5073" TargetMode="External" /><Relationship Id="rId65" Type="http://schemas.openxmlformats.org/officeDocument/2006/relationships/hyperlink" Target="http://data.aade.gr/eli/pri/law/2023/03/27/5036" TargetMode="External" /><Relationship Id="rId7" Type="http://schemas.openxmlformats.org/officeDocument/2006/relationships/hyperlink" Target="http://data.aade.gr/eli/pri/law/2023/03/27/5036" TargetMode="External" /><Relationship Id="rId8" Type="http://schemas.openxmlformats.org/officeDocument/2006/relationships/hyperlink" Target="http://data.aade.gr/eli/pri/law/2023/03/27/5036"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