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4 Νοεμβρίου 2022</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206</w:t>
      </w:r>
    </w:p>
    <w:p>
      <w:pPr>
        <w:pStyle w:val="Title"/>
        <w:spacing w:before="120" w:after="360"/>
        <w:rPr>
          <w:lang w:val="el" w:eastAsia="el"/>
        </w:rPr>
      </w:pPr>
      <w:r>
        <w:rPr>
          <w:b/>
          <w:bCs/>
          <w:lang w:val="el" w:eastAsia="el"/>
        </w:rPr>
        <w:t>ΝΟΜΟΣ ΥΠ΄ ΑΡΙΘΜ. 4987</w:t>
      </w:r>
    </w:p>
    <w:p>
      <w:pPr>
        <w:pStyle w:val="PreambelText"/>
        <w:spacing w:before="240" w:after="240"/>
        <w:rPr>
          <w:lang w:val="el" w:eastAsia="el"/>
        </w:rPr>
      </w:pPr>
      <w:r>
        <w:rPr>
          <w:b/>
          <w:bCs/>
          <w:lang w:val="el" w:eastAsia="el"/>
        </w:rPr>
        <w:t>Κύρωση Κώδικα Φορολογικής Διαδικασίας.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Κώδικα Φορολογικής Διαδικασίας</w:t>
      </w:r>
    </w:p>
    <w:p>
      <w:pPr>
        <w:spacing w:before="240" w:after="240"/>
        <w:rPr>
          <w:lang w:val="el" w:eastAsia="el"/>
        </w:rPr>
      </w:pPr>
      <w:r>
        <w:rPr>
          <w:b/>
          <w:bCs/>
          <w:lang w:val="el" w:eastAsia="el"/>
        </w:rPr>
        <w:t>Κυρώνεται, σύμφωνα με τις παρ. 6 και 7 του άρθρου 76 του Συντάγματος, Κύρωση Κώδικα Φορολογικής Διαδικασίας ο παρών Κώδικας νομοθεσίας που αφορά στη φορολογική διαδικασία.</w:t>
      </w:r>
    </w:p>
    <w:p>
      <w:pPr>
        <w:spacing w:before="240" w:after="240"/>
        <w:rPr>
          <w:lang w:val="el" w:eastAsia="el"/>
        </w:rPr>
      </w:pPr>
      <w:r>
        <w:rPr>
          <w:b/>
          <w:bCs/>
          <w:lang w:val="el" w:eastAsia="el"/>
        </w:rPr>
        <w:t>TMHMA I 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και λοιπών εγγράφων </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ή το έγγραφο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(Α΄ 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ή το έγγραφο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προσκομίστηκε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lang w:val="el" w:eastAsia="el"/>
        </w:rPr>
      </w:pPr>
      <w:r>
        <w:rPr>
          <w:b/>
          <w:bCs/>
          <w:lang w:val="el" w:eastAsia="el"/>
        </w:rPr>
        <w:t>TMHMA II 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 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 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 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pStyle w:val="StructureList1"/>
        <w:spacing w:before="120" w:after="0"/>
        <w:rPr>
          <w:lang w:val="el" w:eastAsia="el"/>
        </w:rPr>
      </w:pPr>
      <w:r>
        <w:rPr>
          <w:lang w:val="el" w:eastAsia="el"/>
        </w:rPr>
        <w:t>δ)</w:t>
      </w:r>
      <w:r>
        <w:rPr>
          <w:lang w:val="en" w:eastAsia="en"/>
        </w:rPr>
        <w:tab/>
      </w:r>
      <w:r>
        <w:rPr>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δα)</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δβ)</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(Α΄ 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lang w:val="el" w:eastAsia="el"/>
        </w:rPr>
        <w:t>ε)</w:t>
      </w:r>
      <w:r>
        <w:rPr>
          <w:lang w:val="en" w:eastAsia="en"/>
        </w:rPr>
        <w:tab/>
      </w:r>
      <w:r>
        <w:rPr>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 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 Κώδικα Φ.Π.Α. , ενδοκοινοτικών παραδόσεων αγαθών.</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 Κώδικα Φ.Π.Α. .</w:t>
      </w:r>
    </w:p>
    <w:p>
      <w:pPr>
        <w:pStyle w:val="StructureList1"/>
        <w:spacing w:before="120" w:after="0"/>
        <w:rPr>
          <w:lang w:val="el" w:eastAsia="el"/>
        </w:rPr>
      </w:pPr>
      <w:r>
        <w:rPr>
          <w:lang w:val="el" w:eastAsia="el"/>
        </w:rPr>
        <w:t>γ)</w:t>
      </w:r>
      <w:r>
        <w:rPr>
          <w:lang w:val="en" w:eastAsia="en"/>
        </w:rPr>
        <w:tab/>
      </w:r>
      <w:r>
        <w:rPr>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StructureList1"/>
        <w:spacing w:before="120" w:after="0"/>
        <w:rPr>
          <w:lang w:val="el" w:eastAsia="el"/>
        </w:rPr>
      </w:pPr>
      <w:r>
        <w:rPr>
          <w:lang w:val="el" w:eastAsia="el"/>
        </w:rPr>
        <w:t>δ)</w:t>
      </w:r>
      <w:r>
        <w:rPr>
          <w:lang w:val="en" w:eastAsia="en"/>
        </w:rPr>
        <w:tab/>
      </w:r>
      <w:r>
        <w:rPr>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(Α.Κ.),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α) καθορίζονται ο τρόπος, ο χρόνος ενημέρωσης και κάθε άλλο αναγκαίο θέμα για την εφαρμογή των παρ. 2, 3 και 4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p>
    <w:p>
      <w:pPr>
        <w:pStyle w:val="MainText"/>
        <w:spacing w:before="120" w:after="0"/>
        <w:rPr>
          <w:lang w:val="el" w:eastAsia="el"/>
        </w:rPr>
      </w:pPr>
      <w:r>
        <w:rPr>
          <w:b/>
          <w:bCs/>
          <w:lang w:val="el" w:eastAsia="el"/>
        </w:rPr>
        <w:t>2.</w:t>
      </w:r>
      <w:r>
        <w:rPr>
          <w:lang w:val="el" w:eastAsia="el"/>
        </w:rPr>
        <w:t xml:space="preserve">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α)</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βα)</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lang w:val="el" w:eastAsia="el"/>
        </w:rPr>
        <w:t>ββ)</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ή</w:t>
      </w:r>
    </w:p>
    <w:p>
      <w:pPr>
        <w:pStyle w:val="StructureList1"/>
        <w:spacing w:before="120" w:after="0"/>
        <w:rPr>
          <w:lang w:val="el" w:eastAsia="el"/>
        </w:rPr>
      </w:pPr>
      <w:r>
        <w:rPr>
          <w:lang w:val="el" w:eastAsia="el"/>
        </w:rPr>
        <w:t>βγ)</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lang w:val="el" w:eastAsia="el"/>
        </w:rPr>
        <w:t xml:space="preserve"> Ο Διοικητής,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Α.Φ.Μ.,</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p>
    <w:p>
      <w:pPr>
        <w:spacing w:before="240" w:after="240"/>
        <w:rPr>
          <w:lang w:val="el" w:eastAsia="el"/>
        </w:rPr>
      </w:pPr>
      <w:r>
        <w:rPr>
          <w:b/>
          <w:bCs/>
          <w:lang w:val="el" w:eastAsia="el"/>
        </w:rPr>
        <w:t>TMHMA III ΑΠΟΔΕΙΚΤΙΚΟ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w:t>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 </w:t>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 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 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 </w:t>
      </w:r>
    </w:p>
    <w:p>
      <w:pPr>
        <w:pStyle w:val="MainText"/>
        <w:spacing w:before="120" w:after="0"/>
        <w:rPr>
          <w:lang w:val="el" w:eastAsia="el"/>
        </w:rPr>
      </w:pPr>
      <w:r>
        <w:rPr>
          <w:b/>
          <w:bCs/>
          <w:lang w:val="el" w:eastAsia="el"/>
        </w:rPr>
        <w:t>4.</w:t>
      </w:r>
      <w:r>
        <w:rPr>
          <w:lang w:val="el" w:eastAsia="el"/>
        </w:rPr>
        <w:t xml:space="preserve"> 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 </w:t>
      </w:r>
    </w:p>
    <w:p>
      <w:pPr>
        <w:pStyle w:val="MainText"/>
        <w:spacing w:before="120" w:after="0"/>
        <w:rPr>
          <w:lang w:val="el" w:eastAsia="el"/>
        </w:rPr>
      </w:pPr>
      <w:r>
        <w:rPr>
          <w:b/>
          <w:bCs/>
          <w:lang w:val="el" w:eastAsia="el"/>
        </w:rPr>
        <w:t>5.</w:t>
      </w:r>
      <w:r>
        <w:rPr>
          <w:lang w:val="el" w:eastAsia="el"/>
        </w:rPr>
        <w:t xml:space="preserve"> Ο Διοικητής,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της παρούσας.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εδαφίου.1</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πρέπει να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ο οποίος δραστηριοποιείται στην οικονομία του διαμοιρασμού, ανεξάρτητα από το εάν αυτή έχει μόνιμη εγκατάσταση στην Ελλάδα, κατά τα οριζόμενα στο άρθρο 6 του Κ.Φ.Ε. ή στις Συμβάσεις Αποφυγής Διπλής Φορολογίας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spacing w:before="240" w:after="240"/>
        <w:rPr>
          <w:lang w:val="el" w:eastAsia="el"/>
        </w:rPr>
      </w:pP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w:t>
      </w:r>
    </w:p>
    <w:p>
      <w:pPr>
        <w:spacing w:before="240" w:after="240"/>
        <w:rPr>
          <w:lang w:val="el" w:eastAsia="el"/>
        </w:rPr>
      </w:pPr>
      <w:r>
        <w:rPr>
          <w:lang w:val="el" w:eastAsia="el"/>
        </w:rPr>
        <w:t>Με κοινή απόφαση των Υπουργών Οικονομικών και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p>
    <w:p>
      <w:pPr>
        <w:pStyle w:val="MainText"/>
        <w:spacing w:before="120" w:after="0"/>
        <w:rPr>
          <w:lang w:val="el" w:eastAsia="el"/>
        </w:rPr>
      </w:pPr>
      <w:r>
        <w:rPr>
          <w:b/>
          <w:bCs/>
          <w:lang w:val="el" w:eastAsia="el"/>
        </w:rPr>
        <w:t>4.</w:t>
      </w:r>
      <w:r>
        <w:rPr>
          <w:lang w:val="el" w:eastAsia="el"/>
        </w:rPr>
        <w:t xml:space="preserve">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 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p>
      <w:pPr>
        <w:pStyle w:val="MainText"/>
        <w:spacing w:before="120" w:after="0"/>
        <w:rPr>
          <w:lang w:val="el" w:eastAsia="el"/>
        </w:rPr>
      </w:pPr>
      <w:r>
        <w:rPr>
          <w:b/>
          <w:bCs/>
          <w:lang w:val="el" w:eastAsia="el"/>
        </w:rPr>
        <w:t>2.</w:t>
      </w:r>
      <w:r>
        <w:rPr>
          <w:lang w:val="el" w:eastAsia="el"/>
        </w:rPr>
        <w:t xml:space="preserve">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4.</w:t>
      </w:r>
      <w:r>
        <w:rPr>
          <w:lang w:val="el" w:eastAsia="el"/>
        </w:rPr>
        <w:t xml:space="preserve"> Για την επιβολή των κυρώσεων των παρ. 1 έως και 3 απαιτείται προηγούμενη ακρόαση του προσώπου, στο οποίο επιβάλλεται.</w:t>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MainText"/>
        <w:spacing w:before="120" w:after="0"/>
        <w:rPr>
          <w:lang w:val="el" w:eastAsia="el"/>
        </w:rPr>
      </w:pPr>
      <w:r>
        <w:rPr>
          <w:b/>
          <w:bCs/>
          <w:lang w:val="el" w:eastAsia="el"/>
        </w:rPr>
        <w:t>6.</w:t>
      </w:r>
      <w:r>
        <w:rPr>
          <w:lang w:val="el" w:eastAsia="el"/>
        </w:rPr>
        <w:t xml:space="preserve">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pStyle w:val="Heading1"/>
        <w:spacing w:before="240" w:after="240"/>
        <w:rPr>
          <w:lang w:val="el" w:eastAsia="el"/>
        </w:rPr>
      </w:pPr>
      <w:r>
        <w:rPr>
          <w:b/>
          <w:bCs/>
          <w:lang w:val="el" w:eastAsia="el"/>
        </w:rPr>
        <w:t xml:space="preserve">ΤΜΗΜΑ V </w:t>
      </w:r>
    </w:p>
    <w:p>
      <w:pPr>
        <w:pStyle w:val="Heading1"/>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αποφάσεις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υπογράφεται,</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w:t>
      </w:r>
    </w:p>
    <w:p>
      <w:pPr>
        <w:spacing w:before="240" w:after="240"/>
        <w:rPr>
          <w:lang w:val="el" w:eastAsia="el"/>
        </w:rPr>
      </w:pPr>
      <w:r>
        <w:rPr>
          <w:b/>
          <w:bCs/>
          <w:lang w:val="el" w:eastAsia="el"/>
        </w:rPr>
        <w:t>TMHMA VI 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Κ.Φ.Ε., καθώς και τη μεταξύ τους μεταφορά λειτουργιών του άρθρου 51 του Κ.Φ.Ε., τα συνδεδεμένα πρόσωπα κατά την έννοια της περ. ζ΄ του άρθρου 2 του Κ.Φ.Ε.,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Κ.Φ.Ε.,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1"/>
        <w:spacing w:before="240" w:after="240"/>
        <w:rPr>
          <w:lang w:val="el" w:eastAsia="el"/>
        </w:rPr>
      </w:pPr>
      <w:r>
        <w:rPr>
          <w:b/>
          <w:bCs/>
          <w:lang w:val="el" w:eastAsia="el"/>
        </w:rPr>
        <w:t xml:space="preserve">ΤΜΗΜΑ VII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w:t>
      </w:r>
      <w:r>
        <w:rPr>
          <w:lang w:val="el" w:eastAsia="el"/>
        </w:rPr>
        <w:softHyphen/>
        <w:t>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τον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 </w:t>
      </w:r>
    </w:p>
    <w:p>
      <w:pPr>
        <w:pStyle w:val="MainText"/>
        <w:spacing w:before="120" w:after="0"/>
        <w:rPr>
          <w:lang w:val="el" w:eastAsia="el"/>
        </w:rPr>
      </w:pPr>
      <w:r>
        <w:rPr>
          <w:b/>
          <w:bCs/>
          <w:lang w:val="el" w:eastAsia="el"/>
        </w:rPr>
        <w:t>8.</w:t>
      </w:r>
      <w:r>
        <w:rPr>
          <w:lang w:val="el" w:eastAsia="el"/>
        </w:rPr>
        <w:t xml:space="preserve">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 </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p>
      <w:pPr>
        <w:pStyle w:val="StructureList1"/>
        <w:spacing w:before="120" w:after="0"/>
        <w:rPr>
          <w:lang w:val="el" w:eastAsia="el"/>
        </w:rPr>
      </w:pPr>
      <w:r>
        <w:rPr>
          <w:lang w:val="el" w:eastAsia="el"/>
        </w:rPr>
        <w:t>β)</w:t>
      </w:r>
      <w:r>
        <w:rPr>
          <w:lang w:val="en" w:eastAsia="en"/>
        </w:rPr>
        <w:tab/>
      </w:r>
      <w:r>
        <w:rPr>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εφαρμόζεται από τη Φορολογική Διοίκηση ο Κώδικας. </w:t>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 4170/2013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του ίδιου νόμου, στους μηχανισμούς, τις διαδικασίες, τα έγγραφα και τις πληροφορίες που προβλέπονται στο άρθρο 13, την παρ. 4 του άρθρου 14 και τα άρθρα 20, 21 και 30 του ν. 4557/2018 (Α΄ 139). </w:t>
      </w:r>
    </w:p>
    <w:p>
      <w:pPr>
        <w:pStyle w:val="MainText"/>
        <w:spacing w:before="120" w:after="0"/>
        <w:rPr>
          <w:lang w:val="el" w:eastAsia="el"/>
        </w:rPr>
      </w:pPr>
      <w:r>
        <w:rPr>
          <w:b/>
          <w:bCs/>
          <w:lang w:val="el" w:eastAsia="el"/>
        </w:rPr>
        <w:t>3.</w:t>
      </w:r>
      <w:r>
        <w:rPr>
          <w:b/>
          <w:bCs/>
          <w:lang w:val="el" w:eastAsia="el"/>
        </w:rPr>
        <w:t xml:space="preserve">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w:t>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 </w:t>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ο φορολογούμενος δεν έχει υποβάλει δήλωση εντός της περιόδου που αναφέρεται στην παρ. 1,</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Α.Φ.Μ.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 Ο τύπος των πράξεων προσδιορισμού του φόρου και της έκθεσης ελέγχου καθορίζεται με απόφαση του Διοικητή.</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Χ ΕΙΣΠΡΑΞΗ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κατά τον ορισμό υπ΄ 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την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w:t>
      </w:r>
    </w:p>
    <w:p>
      <w:pPr>
        <w:spacing w:before="240" w:after="240"/>
        <w:rPr>
          <w:lang w:val="el" w:eastAsia="el"/>
        </w:rPr>
      </w:pPr>
      <w:r>
        <w:rPr>
          <w:b/>
          <w:bCs/>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b/>
          <w:bCs/>
          <w:lang w:val="el" w:eastAsia="el"/>
        </w:rPr>
        <w:t xml:space="preserve">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Διοικητή.</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φορολογούμενου, το επιστρεπτέο ποσό παρακρατείται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b/>
          <w:bCs/>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rStyle w:val="article-num"/>
          <w:b/>
          <w:bCs/>
          <w:lang w:val="el" w:eastAsia="el"/>
        </w:rPr>
        <w:t xml:space="preserve">Άρθρο 43 </w:t>
      </w:r>
    </w:p>
    <w:p>
      <w:pPr>
        <w:spacing w:before="240" w:after="240"/>
        <w:rPr>
          <w:lang w:val="el" w:eastAsia="el"/>
        </w:rPr>
      </w:pPr>
      <w:r>
        <w:rPr>
          <w:b/>
          <w:bCs/>
          <w:lang w:val="el" w:eastAsia="el"/>
        </w:rPr>
        <w:t>[Έχει καταργηθεί με την παρ. 4 του άρθρου 67 του Ν. 4646/2019 (Α΄ 201)].</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τον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ΓΙΑ ΤΗ ΔΙΑΣΦΑΛΙΣΗ ΚΑΙ ΤΗΝ ΑΝΑΓΚΑΣΤΙΚΗ ΕΚΤΕΛΕΣΗ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τον νόμο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άμεσου προσδιορισμού φόρου, ο προσδιορισμός του φόρου, όπως προκύπτει ταυτόχρονα με την υποβολή της δήλωσης,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b/>
          <w:bCs/>
          <w:lang w:val="el" w:eastAsia="el"/>
        </w:rPr>
        <w:t xml:space="preserve">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b/>
          <w:bCs/>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 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 </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μέσα σε εξήντα (60) ημέρες από την κοινοποίηση με συστημένη επιστολή της οικείας πράξης της Φορολογικής Διοίκησης. </w:t>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 4072/2012 (Α΄ 86).</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υποβάλλει ή υποβάλλει εκπρόθεσμα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δεν υποβάλλει ή υποβάλλει εκπρόθεσμα δήλωση παρακράτησης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συνεργαστεί στη διάρκεια φορολογικού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τον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p>
    <w:p>
      <w:pPr>
        <w:pStyle w:val="StructureList1"/>
        <w:spacing w:before="120" w:after="0"/>
        <w:rPr>
          <w:lang w:val="el" w:eastAsia="el"/>
        </w:rPr>
      </w:pPr>
      <w:r>
        <w:rPr>
          <w:b/>
          <w:bCs/>
          <w:lang w:val="el" w:eastAsia="el"/>
        </w:rPr>
        <w:t>θ)</w:t>
      </w:r>
      <w:r>
        <w:rPr>
          <w:b/>
          <w:bCs/>
          <w:lang w:val="en" w:eastAsia="en"/>
        </w:rPr>
        <w:tab/>
      </w:r>
      <w:r>
        <w:rPr>
          <w:b/>
          <w:bCs/>
          <w:lang w:val="el" w:eastAsia="el"/>
        </w:rPr>
        <w:t>[Έχει καταργηθεί, με την περ. β΄ της παρ. 3 του άρθρου 3 του ν. 4337/2015 (Α΄ 129)],</w:t>
      </w:r>
    </w:p>
    <w:p>
      <w:pPr>
        <w:pStyle w:val="StructureList1"/>
        <w:spacing w:before="120" w:after="0"/>
        <w:rPr>
          <w:lang w:val="el" w:eastAsia="el"/>
        </w:rPr>
      </w:pPr>
      <w:r>
        <w:rPr>
          <w:b/>
          <w:bCs/>
          <w:lang w:val="el" w:eastAsia="el"/>
        </w:rPr>
        <w:t>ι)</w:t>
      </w:r>
      <w:r>
        <w:rPr>
          <w:b/>
          <w:bCs/>
          <w:lang w:val="en" w:eastAsia="en"/>
        </w:rPr>
        <w:tab/>
      </w:r>
      <w:r>
        <w:rPr>
          <w:b/>
          <w:bCs/>
          <w:lang w:val="el" w:eastAsia="el"/>
        </w:rPr>
        <w:t>[Εχει καταργηθεί με την παρ. 4 του άρθρου 101 του Ν. 4714/2020 (Α΄ 148)],</w:t>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 άρθρου 62 του Ν. 4170/2013 (Α΄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w:t>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 β΄, γ΄ και δ΄ της παρ. 1 σε περίπτωση που ο φορολογούμενος δεν είναι υπόχρεος τήρησης λογιστικών αρχείων (βιβλίων),</w:t>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 ε΄, ζ΄ η΄ και ιδ΄ της παρ. 1,</w:t>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προβλεπόμενων προστίμων της περ. β΄ της παρ. 1 του άρθρου 54ΣΤ,</w:t>
      </w:r>
    </w:p>
    <w:p>
      <w:pPr>
        <w:pStyle w:val="StructureList1"/>
        <w:spacing w:before="120" w:after="0"/>
        <w:rPr>
          <w:lang w:val="el" w:eastAsia="el"/>
        </w:rPr>
      </w:pPr>
      <w:r>
        <w:rPr>
          <w:b/>
          <w:bCs/>
          <w:lang w:val="el" w:eastAsia="el"/>
        </w:rPr>
        <w:t>ζ)</w:t>
      </w:r>
      <w:r>
        <w:rPr>
          <w:b/>
          <w:bCs/>
          <w:lang w:val="en" w:eastAsia="en"/>
        </w:rPr>
        <w:tab/>
      </w:r>
      <w:r>
        <w:rPr>
          <w:b/>
          <w:bCs/>
          <w:lang w:val="el" w:eastAsia="el"/>
        </w:rPr>
        <w:t>[Έχει καταργηθεί με την παρ. 4 του άρθρου 101 του Ν. 4714/2020, (Α΄ 148)],</w:t>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w:t>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 ιζ΄ της παρ. 1.</w:t>
      </w:r>
    </w:p>
    <w:p>
      <w:pPr>
        <w:pStyle w:val="StructureList1"/>
        <w:spacing w:before="120" w:after="0"/>
        <w:rPr>
          <w:lang w:val="el" w:eastAsia="el"/>
        </w:rPr>
      </w:pPr>
      <w:r>
        <w:rPr>
          <w:b/>
          <w:bCs/>
          <w:lang w:val="el" w:eastAsia="el"/>
        </w:rPr>
        <w:t>ι)</w:t>
      </w:r>
      <w:r>
        <w:rPr>
          <w:b/>
          <w:bCs/>
          <w:lang w:val="en" w:eastAsia="en"/>
        </w:rPr>
        <w:tab/>
      </w:r>
      <w:r>
        <w:rPr>
          <w:b/>
          <w:bCs/>
          <w:lang w:val="el" w:eastAsia="el"/>
        </w:rPr>
        <w:t>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 πράξεις προσδιορισμού φόρου, οι οποίες συντίθενται μηχανογραφικά από τη Φορολογική Διοίκηση.</w:t>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άρθρου δεν επιβάλλονται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w:t>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 xml:space="preserve">Άρθρο 54Α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ΕΝ.Φ.Ι.Α.,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(πιστοποιητικό ΕΝ.Φ.Ι.Α.).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τον συμβολαιογράφο το πιστοποιητικό ΕΝ.Φ.Ι.Α.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w:t>
      </w:r>
      <w:r>
        <w:rPr>
          <w:b/>
          <w:bCs/>
          <w:lang w:val="el" w:eastAsia="el"/>
        </w:rPr>
        <w:softHyphen/>
        <w:t>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φόρων και τόκων για το συγκεκριμένο ακίνητο έναντι του συνολικά οφειλόμενου ποσού φόρων και τόκων για όλα τα ακίνητα για τα οποία είναι υπόχρεος, σύμφωνα με τα οριζόμενα στο πρώτο εδάφιο, χωρίς να απαιτείται να έχει προηγηθεί ρύθμιση των ληξιπρόθεσμων οφειλών από τον ΕΝ.Φ.Ι.Α.. Για την εφαρμογή της παρούσας το τίμημα δεν μπορεί να υπολείπεται του οφειλόμενου ποσού. Εφόσον με το ίδιο συμβολαιογραφικό έγγραφο μεταβιβάζεται με αντάλλαγμα το σύνολο της ακίνητης περιουσίας φυσικού ή νομικού προσώπου και το συνολικά οφειλόμενο ποσό φόρων και τόκων αποδίδεται, επί ποινή ακυρότητας του συμβολαίου, από τον συμβολαιογράφο μέσα στην προθεσμία των τριών (3) εργασίμων ημερών, χορηγείται ένα ενιαίο πιστοποιητικό της παρ. 1 για το σύνολο των ακινήτων, χωρίς να απαιτείται να έχει προηγηθεί ρύθμιση των ληξιπρόθεσμων οφειλών από ΕΝ.Φ.Ι.Α..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w:t>
      </w:r>
    </w:p>
    <w:p>
      <w:pPr>
        <w:pStyle w:val="MainText"/>
        <w:spacing w:before="120" w:after="0"/>
        <w:rPr>
          <w:lang w:val="el" w:eastAsia="el"/>
        </w:rPr>
      </w:pPr>
      <w:r>
        <w:rPr>
          <w:b/>
          <w:bCs/>
          <w:lang w:val="el" w:eastAsia="el"/>
        </w:rPr>
        <w:t>5.</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 άρθρο 12 του Ν. 2328/1995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 άρθρου 3 του Ν. 4337/2015 (Α΄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 άρθρου 3 του Ν. 4337/2015.</w:t>
      </w:r>
    </w:p>
    <w:p>
      <w:pPr>
        <w:pStyle w:val="MainText"/>
        <w:spacing w:before="120" w:after="0"/>
        <w:rPr>
          <w:lang w:val="el" w:eastAsia="el"/>
        </w:rPr>
      </w:pPr>
      <w:r>
        <w:rPr>
          <w:b/>
          <w:bCs/>
          <w:lang w:val="el" w:eastAsia="el"/>
        </w:rPr>
        <w:t>3.</w:t>
      </w:r>
      <w:r>
        <w:rPr>
          <w:b/>
          <w:bCs/>
          <w:lang w:val="el" w:eastAsia="el"/>
        </w:rPr>
        <w:t xml:space="preserve"> [Έχει καταργηθεί με το άρθρο 92 του Ν. 4745/2020 (Α΄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Συνοπτικού Πίνακα Πληροφοριών ή Φακέλου 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pStyle w:val="MainText"/>
        <w:spacing w:before="120" w:after="0"/>
        <w:rPr>
          <w:lang w:val="el" w:eastAsia="el"/>
        </w:rPr>
      </w:pPr>
      <w:r>
        <w:rPr>
          <w:b/>
          <w:bCs/>
          <w:lang w:val="el" w:eastAsia="el"/>
        </w:rPr>
        <w:t>4.</w:t>
      </w:r>
      <w:r>
        <w:rPr>
          <w:b/>
          <w:bCs/>
          <w:lang w:val="el" w:eastAsia="el"/>
        </w:rPr>
        <w:t xml:space="preserve"> 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 (Α΄ 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b/>
          <w:bCs/>
          <w:lang w:val="el" w:eastAsia="el"/>
        </w:rPr>
        <w:t>[Έχει καταργηθεί με το άρθρο 19 του Ν. 4321/2015 (Α΄ 32)].</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lang w:val="el" w:eastAsia="el"/>
        </w:rPr>
        <w:t xml:space="preserve">Άρθρο 58Α </w:t>
      </w:r>
    </w:p>
    <w:p>
      <w:pPr>
        <w:pStyle w:val="Heading6"/>
        <w:spacing w:before="240" w:after="240"/>
        <w:rPr>
          <w:lang w:val="el" w:eastAsia="el"/>
        </w:rPr>
      </w:pPr>
      <w:r>
        <w:rPr>
          <w:b/>
          <w:bCs/>
          <w:lang w:val="el" w:eastAsia="el"/>
        </w:rPr>
        <w:t>Πρόστιμα για παραβάσεις σχετικά με τον Φ.Π.Α.</w:t>
      </w:r>
    </w:p>
    <w:p>
      <w:pPr>
        <w:spacing w:before="240" w:after="240"/>
        <w:rPr>
          <w:lang w:val="el" w:eastAsia="el"/>
        </w:rPr>
      </w:pPr>
      <w:r>
        <w:rPr>
          <w:b/>
          <w:b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Διοικητή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Α.Φ.Μ.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b/>
          <w:bCs/>
          <w:lang w:val="el" w:eastAsia="el"/>
        </w:rPr>
        <w:t xml:space="preserve">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pStyle w:val="MainText"/>
        <w:spacing w:before="120" w:after="0"/>
        <w:rPr>
          <w:lang w:val="el" w:eastAsia="el"/>
        </w:rPr>
      </w:pPr>
      <w:r>
        <w:rPr>
          <w:b/>
          <w:bCs/>
          <w:lang w:val="el" w:eastAsia="el"/>
        </w:rPr>
        <w:t>5.</w:t>
      </w:r>
      <w:r>
        <w:rPr>
          <w:b/>
          <w:bCs/>
          <w:lang w:val="el" w:eastAsia="el"/>
        </w:rPr>
        <w:t xml:space="preserve"> Τα πρόστιμα καταβάλλονται εφάπαξ έως και την τριακοστή (30ή) ημέρα μετά την κοινοποίηση της πράξης επιβολής.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πράξης επιβολής προστίμου άρχεται στο τέλος του έτους, κατά το οποίο διαπιστώθηκε η παράβαση.</w:t>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 </w:t>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 ΔΙΑΔΙΚΑΣΙΕΣ ΠΡΟΣΦΥΓΗΣ - ΔΙΑΔΙΚΑΣΙΑ ΑΜΟΙΒΑΙΟΥ ΔΙΑΚΑΝΟΝΙΣΜΟΥ</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b/>
          <w:b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b/>
          <w:bCs/>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lang w:val="el" w:eastAsia="el"/>
        </w:rPr>
        <w:t>9.</w:t>
      </w:r>
      <w:r>
        <w:rPr>
          <w:b/>
          <w:bCs/>
          <w:lang w:val="el" w:eastAsia="el"/>
        </w:rPr>
        <w:t xml:space="preserve">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Διεύθυνσης Επίλυσης Διαφορών,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b/>
          <w:bCs/>
          <w:lang w:val="el" w:eastAsia="el"/>
        </w:rPr>
        <w:t xml:space="preserve">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b/>
          <w:bCs/>
          <w:lang w:val="el" w:eastAsia="el"/>
        </w:rPr>
        <w:t xml:space="preserve">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lang w:val="el" w:eastAsia="el"/>
        </w:rPr>
        <w:t>5.</w:t>
      </w:r>
      <w:r>
        <w:rPr>
          <w:b/>
          <w:b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lang w:val="el" w:eastAsia="el"/>
        </w:rPr>
        <w:t>6.</w:t>
      </w:r>
      <w:r>
        <w:rPr>
          <w:b/>
          <w:b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Άρθρο 65Α</w:t>
      </w:r>
      <w:r>
        <w:rPr>
          <w:b/>
          <w:bCs/>
          <w:lang w:val="el" w:eastAsia="el"/>
        </w:rPr>
        <w:t xml:space="preserve">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b/>
          <w:b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lang w:val="el" w:eastAsia="el"/>
        </w:rPr>
        <w:t>4.</w:t>
      </w:r>
      <w:r>
        <w:rPr>
          <w:b/>
          <w:b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 ΕΓΚΛΗΜΑΤΑ ΦΟΡΟΔΙΑΦΥΓΗΣ - ΠΟΙΝΙΚΕΣ ΚΥΡΩΣΕΙΣ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p>
    <w:p>
      <w:pPr>
        <w:spacing w:before="240" w:after="240"/>
        <w:rPr>
          <w:lang w:val="el" w:eastAsia="el"/>
        </w:rPr>
      </w:pPr>
      <w:r>
        <w:rPr>
          <w:b/>
          <w:bCs/>
          <w:lang w:val="el" w:eastAsia="el"/>
        </w:rPr>
        <w:t>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πενήντα χιλιάδες (50.000) ευρώ, εφόσον αφορά Φ.Π.Α. ή</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w:t>
      </w:r>
      <w:r>
        <w:rPr>
          <w:b/>
          <w:bCs/>
          <w:lang w:val="el" w:eastAsia="el"/>
        </w:rPr>
        <w:softHyphen/>
        <w:t>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lang w:val="el" w:eastAsia="el"/>
        </w:rPr>
        <w:t>3.</w:t>
      </w:r>
      <w:r>
        <w:rPr>
          <w:b/>
          <w:b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lang w:val="el" w:eastAsia="el"/>
        </w:rPr>
        <w:t>4.</w:t>
      </w:r>
      <w:r>
        <w:rPr>
          <w:b/>
          <w:b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lang w:val="el" w:eastAsia="el"/>
        </w:rPr>
        <w:t>5.</w:t>
      </w:r>
      <w:r>
        <w:rPr>
          <w:b/>
          <w:b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b/>
          <w:b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b/>
          <w:b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ΧΙΙΙ ΜΕΤΑΒΑΤΙΚΕΣ ΚΑΙ ΤΕΛΙΚΕΣ ΔΙΑΤΑΞΕΙΣ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1η.1.2014, για υποθέσεις προσωρινού ή οριστικού φορολογικού ελέγχου που αφορά χρήσεις, περιόδους, φορολογικές υποθέσεις ή υποχρεώσεις πριν από την 1η.1.2014,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 151), την παρ. 2 του άρθρου 49 του Ν. 2859/2000 (Α΄ 248) και κάθε άλλη συναφή διάταξη, εκδίδεται μερική καταλογιστική πράξη.</w:t>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1η.1.2014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1η.1.2014 τις προβλεπόμενες από τον Κώδικα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1η.1.2014 εφαρμόζονται αναλόγως η παρ. 4 του άρθρου 41 και η παρ. 1 του άρθρου 30 του Κώδικα.</w:t>
      </w:r>
    </w:p>
    <w:p>
      <w:pPr>
        <w:pStyle w:val="MainText"/>
        <w:spacing w:before="120" w:after="0"/>
        <w:rPr>
          <w:lang w:val="el" w:eastAsia="el"/>
        </w:rPr>
      </w:pPr>
      <w:r>
        <w:rPr>
          <w:b/>
          <w:bCs/>
          <w:lang w:val="el" w:eastAsia="el"/>
        </w:rPr>
        <w:t>9.</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w:t>
      </w:r>
      <w:r>
        <w:rPr>
          <w:b/>
          <w:bCs/>
          <w:lang w:val="el" w:eastAsia="el"/>
        </w:rPr>
        <w:softHyphen/>
        <w:t>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10.</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 85) σε πρώτο βαθμό. </w:t>
      </w:r>
    </w:p>
    <w:p>
      <w:pPr>
        <w:pStyle w:val="MainText"/>
        <w:spacing w:before="120" w:after="0"/>
        <w:rPr>
          <w:lang w:val="el" w:eastAsia="el"/>
        </w:rPr>
      </w:pPr>
      <w:r>
        <w:rPr>
          <w:b/>
          <w:bCs/>
          <w:lang w:val="el" w:eastAsia="el"/>
        </w:rPr>
        <w:t>11.</w:t>
      </w:r>
      <w:r>
        <w:rPr>
          <w:b/>
          <w:b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lang w:val="el" w:eastAsia="el"/>
        </w:rPr>
        <w:t>12.</w:t>
      </w:r>
      <w:r>
        <w:rPr>
          <w:b/>
          <w:b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lang w:val="el" w:eastAsia="el"/>
        </w:rPr>
        <w:t>13.</w:t>
      </w:r>
      <w:r>
        <w:rPr>
          <w:b/>
          <w:b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lang w:val="el" w:eastAsia="el"/>
        </w:rPr>
        <w:t>14.</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15.</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16.</w:t>
      </w:r>
      <w:r>
        <w:rPr>
          <w:b/>
          <w:b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 άρθρου 4 του Ν. 2523/1997,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lang w:val="el" w:eastAsia="el"/>
        </w:rPr>
        <w:t>17.</w:t>
      </w:r>
      <w:r>
        <w:rPr>
          <w:b/>
          <w:bCs/>
          <w:lang w:val="el" w:eastAsia="el"/>
        </w:rPr>
        <w:t xml:space="preserve"> Η υπ΄ αρ. 45081/30.10.1997 κοινή απόφαση των Υπουργών Εσωτερικών και Οικονομικών που έχει εκδοθεί κατ΄ εξουσιοδότηση της παρ. 6 του άρθρου 26 του Ν. 1882/1990 (Α΄ 43) εξακολουθεί να ισχύει μέχρι την κατάργησή της.</w:t>
      </w:r>
    </w:p>
    <w:p>
      <w:pPr>
        <w:pStyle w:val="MainText"/>
        <w:spacing w:before="120" w:after="0"/>
        <w:rPr>
          <w:lang w:val="el" w:eastAsia="el"/>
        </w:rPr>
      </w:pPr>
      <w:r>
        <w:rPr>
          <w:b/>
          <w:bCs/>
          <w:lang w:val="el" w:eastAsia="el"/>
        </w:rPr>
        <w:t>18.</w:t>
      </w:r>
      <w:r>
        <w:rPr>
          <w:b/>
          <w:b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4223/2013 (Α΄ 287) επί περιουσιακών στοιχείων που έχουν δεσμευτεί κατ΄ εφαρμογή του άρθρου 14 του Ν. 2523/1997.</w:t>
      </w:r>
    </w:p>
    <w:p>
      <w:pPr>
        <w:pStyle w:val="MainText"/>
        <w:spacing w:before="120" w:after="0"/>
        <w:rPr>
          <w:lang w:val="el" w:eastAsia="el"/>
        </w:rPr>
      </w:pPr>
      <w:r>
        <w:rPr>
          <w:b/>
          <w:bCs/>
          <w:lang w:val="el" w:eastAsia="el"/>
        </w:rPr>
        <w:t>19.</w:t>
      </w:r>
      <w:r>
        <w:rPr>
          <w:b/>
          <w:b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lang w:val="el" w:eastAsia="el"/>
        </w:rPr>
        <w:t>20.</w:t>
      </w:r>
      <w:r>
        <w:rPr>
          <w:b/>
          <w:b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 παρ. 1 του άρθρου 14 του Ν. 2523/1997 μέχρι τις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21.</w:t>
      </w:r>
      <w:r>
        <w:rPr>
          <w:b/>
          <w:bCs/>
          <w:lang w:val="el" w:eastAsia="el"/>
        </w:rPr>
        <w:t xml:space="preserve"> Αποφάσεις του Υπουργού Οικονομικών, που ρυθμίζουν θέματα που υπάγονται στις διατάξεις του Κώδικα, οι οποίες έχουν εκδοθεί κατ΄ εξουσιοδότηση των άρθρων:</w:t>
      </w:r>
    </w:p>
    <w:p>
      <w:pPr>
        <w:spacing w:before="240" w:after="240"/>
        <w:rPr>
          <w:lang w:val="el" w:eastAsia="el"/>
        </w:rPr>
      </w:pPr>
      <w:r>
        <w:rPr>
          <w:b/>
          <w:bCs/>
          <w:lang w:val="el" w:eastAsia="el"/>
        </w:rPr>
        <w:t>16 του Ν. 1882/1990 (Α΄ 43) περί Φορολογίας Αυτομάτου Υπερτιμήματος,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περί Έκτακτου Ειδικού Τέλους Ηλεκτροδοτού-μενων Δομημένων Επιφανειών (Ε.Ε.Τ.Η.Δ.Ε.) και της υπο-παρ. Α7 του άρθρου πρώτου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lang w:val="el" w:eastAsia="el"/>
        </w:rPr>
        <w:t>22.</w:t>
      </w:r>
      <w:r>
        <w:rPr>
          <w:b/>
          <w:bCs/>
          <w:lang w:val="el" w:eastAsia="el"/>
        </w:rPr>
        <w:t xml:space="preserve"> Για τα έσοδα που εμπίπτουν στο άρθρο 2 και το Παράρτημα του ν. 4174/2013 (Α΄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 </w:t>
      </w:r>
    </w:p>
    <w:p>
      <w:pPr>
        <w:pStyle w:val="MainText"/>
        <w:spacing w:before="120" w:after="0"/>
        <w:rPr>
          <w:lang w:val="el" w:eastAsia="el"/>
        </w:rPr>
      </w:pPr>
      <w:r>
        <w:rPr>
          <w:b/>
          <w:bCs/>
          <w:lang w:val="el" w:eastAsia="el"/>
        </w:rPr>
        <w:t>23.</w:t>
      </w:r>
      <w:r>
        <w:rPr>
          <w:b/>
          <w:b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lang w:val="el" w:eastAsia="el"/>
        </w:rPr>
        <w:t>24.</w:t>
      </w:r>
      <w:r>
        <w:rPr>
          <w:b/>
          <w:b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lang w:val="el" w:eastAsia="el"/>
        </w:rPr>
        <w:t>25.</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lang w:val="el" w:eastAsia="el"/>
        </w:rPr>
        <w:t>26.</w:t>
      </w:r>
      <w:r>
        <w:rPr>
          <w:b/>
          <w:b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2238/1994.</w:t>
      </w:r>
    </w:p>
    <w:p>
      <w:pPr>
        <w:pStyle w:val="MainText"/>
        <w:spacing w:before="120" w:after="0"/>
        <w:rPr>
          <w:lang w:val="el" w:eastAsia="el"/>
        </w:rPr>
      </w:pPr>
      <w:r>
        <w:rPr>
          <w:b/>
          <w:bCs/>
          <w:lang w:val="el" w:eastAsia="el"/>
        </w:rPr>
        <w:t>27.</w:t>
      </w:r>
      <w:r>
        <w:rPr>
          <w:b/>
          <w:bCs/>
          <w:lang w:val="el" w:eastAsia="el"/>
        </w:rPr>
        <w:t xml:space="preserve"> Για παραβάσεις που διαπράχθηκαν μέχρι τις 31.12.2013, ανεξάρτητα από τον χρόνο διαπίστωσής τους, το σχετικό πρόστιμο υπολογίζεται σύμφωνα με το άρθρο 4 του Ν. 2523/1997,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28.</w:t>
      </w:r>
      <w:r>
        <w:rPr>
          <w:b/>
          <w:bCs/>
          <w:lang w:val="el" w:eastAsia="el"/>
        </w:rPr>
        <w:t xml:space="preserve"> Οι παρ. 5 και 6 του άρθρου 4 του Ν. 2523/1997 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 4446/2016 (Α΄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lang w:val="el" w:eastAsia="el"/>
        </w:rPr>
        <w:t>29.</w:t>
      </w:r>
      <w:r>
        <w:rPr>
          <w:b/>
          <w:bCs/>
          <w:lang w:val="el" w:eastAsia="el"/>
        </w:rPr>
        <w:t xml:space="preserve"> Φορολογούμενος σε βάρος του οποίου: α) έχει εκδοθεί και δεν έχει κοινοποιηθεί μέχρι την έναρξη ισχύος του ν. 4512/2018 (Α΄ 5) οριστική πράξη διορθωτικού προσδιορισμού του φόρου, ή β) 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 4512/2018,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 άρθρου 1 του Ν. 2523/1997, κατά περίπτωση, μειώνονται στο εξήντα τοις εκατό (60%) αυτών. Τα ανωτέρω εφαρμόζονται και για εκκρεμείς υποθέσεις κατά την έναρξη ισχύος του Ν. 4512/2018, εφαρμοζόμενων αναλόγως των παρ. 3 και 5 του άρθρου 49 του Ν. 4509/2017 (Α΄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 </w:t>
      </w:r>
    </w:p>
    <w:p>
      <w:pPr>
        <w:pStyle w:val="MainText"/>
        <w:spacing w:before="120" w:after="0"/>
        <w:rPr>
          <w:lang w:val="el" w:eastAsia="el"/>
        </w:rPr>
      </w:pPr>
      <w:r>
        <w:rPr>
          <w:b/>
          <w:bCs/>
          <w:lang w:val="el" w:eastAsia="el"/>
        </w:rPr>
        <w:t>30.</w:t>
      </w:r>
      <w:r>
        <w:rPr>
          <w:b/>
          <w:b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lang w:val="el" w:eastAsia="el"/>
        </w:rPr>
        <w:t>31.</w:t>
      </w:r>
      <w:r>
        <w:rPr>
          <w:b/>
          <w:b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lang w:val="el" w:eastAsia="el"/>
        </w:rPr>
        <w:t>32.</w:t>
      </w:r>
      <w:r>
        <w:rPr>
          <w:b/>
          <w:bCs/>
          <w:lang w:val="el" w:eastAsia="el"/>
        </w:rPr>
        <w:t xml:space="preserve"> α) Κατ΄ εξαίρεση, άμεσος προσδιορισμός φόρου ή πράξεις προσδιορισμού φόρου ή επιβολής προστίμου 32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 4701/2020 (Α΄ 128).</w:t>
      </w:r>
    </w:p>
    <w:p>
      <w:pPr>
        <w:pStyle w:val="MainText"/>
        <w:spacing w:before="120" w:after="0"/>
        <w:rPr>
          <w:lang w:val="el" w:eastAsia="el"/>
        </w:rPr>
      </w:pPr>
      <w:r>
        <w:rPr>
          <w:b/>
          <w:bCs/>
          <w:lang w:val="el" w:eastAsia="el"/>
        </w:rPr>
        <w:t>33.</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w:t>
      </w:r>
      <w:r>
        <w:rPr>
          <w:b/>
          <w:bCs/>
          <w:lang w:val="el" w:eastAsia="el"/>
        </w:rPr>
        <w:softHyphen/>
        <w:t>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lang w:val="el" w:eastAsia="el"/>
        </w:rPr>
        <w:t>34.</w:t>
      </w:r>
      <w:r>
        <w:rPr>
          <w:b/>
          <w:b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lang w:val="el" w:eastAsia="el"/>
        </w:rPr>
        <w:t>35.</w:t>
      </w:r>
      <w:r>
        <w:rPr>
          <w:b/>
          <w:b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36.</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37.</w:t>
      </w:r>
      <w:r>
        <w:rPr>
          <w:b/>
          <w:bCs/>
          <w:lang w:val="el" w:eastAsia="el"/>
        </w:rPr>
        <w:t xml:space="preserve"> Όπου στην κείμενη νομοθεσία γίνεται παραπομπή στις ρυθμίσεις του ν. 2523/1997 (άρθρα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lang w:val="el" w:eastAsia="el"/>
        </w:rPr>
        <w:t>38.</w:t>
      </w:r>
      <w:r>
        <w:rPr>
          <w:b/>
          <w:bCs/>
          <w:lang w:val="el" w:eastAsia="el"/>
        </w:rPr>
        <w:t xml:space="preserve"> Αιτήσεις ποινικής δίωξης Προϊσταμένων Δ.Ο.Υ. ή Ελεγκτικών Κέντρων ή Τελωνείων σύμφωνα με το άρθρο 25 του Ν. 1882/1990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 4337/2015 (Α΄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 άρθρου 25 του Ν. 1882/1990 πριν από τη δημοσίευση του ν. 4337/2015, λήγει με τη δημοσίευση του Ν. 4337/2015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lang w:val="el" w:eastAsia="el"/>
        </w:rPr>
        <w:t>39.</w:t>
      </w:r>
      <w:r>
        <w:rPr>
          <w:b/>
          <w:bCs/>
          <w:lang w:val="el" w:eastAsia="el"/>
        </w:rPr>
        <w:t xml:space="preserve"> Υποθέσεις για εγκλήματα των άρθρων 17, 18 και 19 του Ν. 2523/1997, εάν μέχρι τη δημοσίευση του ν. 4337/2015 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lang w:val="el" w:eastAsia="el"/>
        </w:rPr>
        <w:t>40.</w:t>
      </w:r>
      <w:r>
        <w:rPr>
          <w:b/>
          <w:bCs/>
          <w:lang w:val="el" w:eastAsia="el"/>
        </w:rPr>
        <w:t xml:space="preserve"> Εκκρεμείς κατά τη δημοσίευση του ν. 4337/2015 μηνυτήριες αναφορές για εγκλήματα των άρθρων 17, 18 και 19 του Ν. 2523/1997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και καταργούμενες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Μέρους Α΄ του Ν. 4174/2013 (Α΄ 170) ή του Κώδικα Φορολογικής Διαδικασίας (Κ.Φ.Δ.), ή γενικά στον ν. 4174/2013 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 4174/2013 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 4174/2013 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Οι κωδικοποιούμενες διατάξεις του Μέρους Α΄ και το Παράρτημα του ν. 4174/2013 καταργούνται.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