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Νοεμβρίου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215</w:t>
      </w:r>
    </w:p>
    <w:p>
      <w:pPr>
        <w:pStyle w:val="PreambelText"/>
        <w:spacing w:before="240" w:after="240"/>
        <w:rPr>
          <w:lang w:val="el" w:eastAsia="el"/>
        </w:rPr>
      </w:pPr>
      <w:r>
        <w:rPr>
          <w:b/>
          <w:bCs/>
          <w:lang w:val="el" w:eastAsia="el"/>
        </w:rPr>
        <w:t>ΝΟΜΟΣ ΥΠ’ ΑΡΙΘΜ. 4994</w:t>
      </w:r>
    </w:p>
    <w:p>
      <w:pPr>
        <w:pStyle w:val="PreambelText"/>
        <w:spacing w:before="240" w:after="240"/>
        <w:rPr>
          <w:lang w:val="el" w:eastAsia="el"/>
        </w:rPr>
      </w:pPr>
      <w:r>
        <w:rPr>
          <w:b/>
          <w:bCs/>
          <w:lang w:val="el" w:eastAsia="el"/>
        </w:rPr>
        <w:t>Ενσωμάτωση της Οδηγίας (ΕΕ) 2019/882 του Ευρωπαϊκού Κοινοβουλίου και του Συμβουλίου της 17ης Απριλίου 2019 σχετικά με τις απαιτήσεις προσβασιμότητας προϊόντων και υπηρεσιών και άλλες επείγουσες διατάξεις για την ενίσχυση της ανάπτυξης.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Title"/>
        <w:spacing w:before="120" w:after="360"/>
        <w:rPr>
          <w:lang w:val="el" w:eastAsia="el"/>
        </w:rPr>
      </w:pPr>
      <w:r>
        <w:rPr>
          <w:lang w:val="el" w:eastAsia="el"/>
        </w:rPr>
        <w:t xml:space="preserve">Παράρτημα Ι </w:t>
      </w:r>
    </w:p>
    <w:p>
      <w:pPr>
        <w:pStyle w:val="Title"/>
        <w:spacing w:before="120" w:after="360"/>
        <w:rPr>
          <w:lang w:val="el" w:eastAsia="el"/>
        </w:rPr>
      </w:pPr>
      <w:r>
        <w:rPr>
          <w:lang w:val="el" w:eastAsia="el"/>
        </w:rPr>
        <w:t>Απαιτήσεις προσβασιμότητας για τα προϊόντα και τις υπηρεσίες</w:t>
      </w:r>
    </w:p>
    <w:p>
      <w:pPr>
        <w:pStyle w:val="Title"/>
        <w:spacing w:before="120" w:after="360"/>
        <w:rPr>
          <w:lang w:val="el" w:eastAsia="el"/>
        </w:rPr>
      </w:pPr>
      <w:r>
        <w:rPr>
          <w:lang w:val="el" w:eastAsia="el"/>
        </w:rPr>
        <w:t xml:space="preserve">Παράρτημα ΙΙ </w:t>
      </w:r>
    </w:p>
    <w:p>
      <w:pPr>
        <w:pStyle w:val="Title"/>
        <w:spacing w:before="120" w:after="360"/>
        <w:rPr>
          <w:lang w:val="el" w:eastAsia="el"/>
        </w:rPr>
      </w:pPr>
      <w:r>
        <w:rPr>
          <w:lang w:val="el" w:eastAsia="el"/>
        </w:rPr>
        <w:t>Ενδεικτικά μη δεσμευτικά παραδείγματα δυνητικών λύσεων που συμβάλλουν στην εκπλήρωση των απαιτήσεων προσβασιμότητας του Παραρτήματος I</w:t>
      </w:r>
    </w:p>
    <w:p>
      <w:pPr>
        <w:pStyle w:val="Title"/>
        <w:spacing w:before="120" w:after="360"/>
        <w:rPr>
          <w:lang w:val="el" w:eastAsia="el"/>
        </w:rPr>
      </w:pPr>
      <w:r>
        <w:rPr>
          <w:lang w:val="el" w:eastAsia="el"/>
        </w:rPr>
        <w:t xml:space="preserve">Παράρτημα ΙΙΙ </w:t>
      </w:r>
    </w:p>
    <w:p>
      <w:pPr>
        <w:pStyle w:val="Title"/>
        <w:spacing w:before="120" w:after="360"/>
        <w:rPr>
          <w:lang w:val="el" w:eastAsia="el"/>
        </w:rPr>
      </w:pPr>
      <w:r>
        <w:rPr>
          <w:lang w:val="el" w:eastAsia="el"/>
        </w:rPr>
        <w:t>Απαιτήσεις προσβασιμότητας για τον σκοπό της παρ. 3 του άρθρου 5 σχετικά με το δομημένο περιβάλλον όπου παρέχονται υπηρεσίες που εμπίπτουν στο πεδίο εφαρμογής του παρόντος</w:t>
      </w:r>
    </w:p>
    <w:p>
      <w:pPr>
        <w:pStyle w:val="Title"/>
        <w:spacing w:before="120" w:after="360"/>
        <w:rPr>
          <w:lang w:val="el" w:eastAsia="el"/>
        </w:rPr>
      </w:pPr>
      <w:r>
        <w:rPr>
          <w:lang w:val="el" w:eastAsia="el"/>
        </w:rPr>
        <w:t xml:space="preserve">Παράρτημα ΙV </w:t>
      </w:r>
    </w:p>
    <w:p>
      <w:pPr>
        <w:pStyle w:val="Title"/>
        <w:spacing w:before="120" w:after="360"/>
        <w:rPr>
          <w:lang w:val="el" w:eastAsia="el"/>
        </w:rPr>
      </w:pPr>
      <w:r>
        <w:rPr>
          <w:lang w:val="el" w:eastAsia="el"/>
        </w:rPr>
        <w:t>Διαδικασία αξιολόγησης της συμμόρφωσης - Προϊόντα</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Πληροφορίες σχετικά με υπηρεσίες που πληρούν τις απαιτήσεις προσβασιμότητας</w:t>
      </w:r>
    </w:p>
    <w:p>
      <w:pPr>
        <w:pStyle w:val="Title"/>
        <w:spacing w:before="120" w:after="360"/>
        <w:rPr>
          <w:lang w:val="el" w:eastAsia="el"/>
        </w:rPr>
      </w:pPr>
      <w:r>
        <w:rPr>
          <w:lang w:val="el" w:eastAsia="el"/>
        </w:rPr>
        <w:t xml:space="preserve">Παράρτημα VΙ </w:t>
      </w:r>
    </w:p>
    <w:p>
      <w:pPr>
        <w:pStyle w:val="Title"/>
        <w:spacing w:before="120" w:after="360"/>
        <w:rPr>
          <w:lang w:val="el" w:eastAsia="el"/>
        </w:rPr>
      </w:pPr>
      <w:r>
        <w:rPr>
          <w:lang w:val="el" w:eastAsia="el"/>
        </w:rPr>
        <w:t>Κριτήρια για την εκτίμηση της δυσανάλογης επιβάρυνσης</w:t>
      </w:r>
    </w:p>
    <w:p>
      <w:pPr>
        <w:pStyle w:val="Title"/>
        <w:spacing w:before="120" w:after="360"/>
        <w:rPr>
          <w:lang w:val="el" w:eastAsia="el"/>
        </w:rPr>
      </w:pPr>
      <w:r>
        <w:rPr>
          <w:lang w:val="el" w:eastAsia="el"/>
        </w:rPr>
        <w:t xml:space="preserve">Παράρτημα VΙI </w:t>
      </w:r>
    </w:p>
    <w:p>
      <w:pPr>
        <w:pStyle w:val="Title"/>
        <w:spacing w:before="120" w:after="360"/>
        <w:rPr>
          <w:lang w:val="el" w:eastAsia="el"/>
        </w:rPr>
      </w:pPr>
      <w:r>
        <w:rPr>
          <w:lang w:val="el" w:eastAsia="el"/>
        </w:rPr>
        <w:t>Δήλωση συμμόρφωσης ΕΕ</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παρόντος είναι η ενσωμάτωση στην ελληνική έννομη τάξη της Οδηγίας (ΕΕ) 2019/882 του Ευρωπαϊκού Κοινοβουλίου και του Συμβουλίου, της 17ης Απριλίου 2019 σχετικά με τις απαιτήσεις προσβα- σιμότητας προϊόντων και υπηρεσιών (L 151). Ειδικότερα σκοπούνται η ενίσχυση της λειτουργίας της εσωτερικής αγοράς, όσον αφορά στις απαιτήσεις προσβασιμό- τητας σε ορισμένα προϊόντα και υπηρεσίες, η αύξηση της διαθεσιμότητας των προσβάσιμων προϊόντων και υπηρεσιών, η βελτίωση της προσβασιμότητάς τους σε άτομα με αναπηρία, η δημιουργία οικονομιών κλίμακας, η διευκόλυνση του διασυνοριακού εμπορίου και της κινητικότητας και η ενίσχυση της καινοτομίας.</w:t>
      </w:r>
    </w:p>
    <w:p>
      <w:pPr>
        <w:pStyle w:val="MainText"/>
        <w:spacing w:before="120" w:after="0"/>
        <w:rPr>
          <w:lang w:val="el" w:eastAsia="el"/>
        </w:rPr>
      </w:pPr>
      <w:r>
        <w:rPr>
          <w:b/>
          <w:bCs/>
          <w:lang w:val="el" w:eastAsia="el"/>
        </w:rPr>
        <w:t>2.</w:t>
      </w:r>
      <w:r>
        <w:rPr>
          <w:lang w:val="el" w:eastAsia="el"/>
        </w:rPr>
        <w:t xml:space="preserve"> Παράλληλα, αντιμετωπίζεται μια σειρά ζητημάτων που έχουν ανακύψει ως προσκόμματα στη λειτουργία της αγοράς και στην ανάπτυξη εν γένει.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Οδηγίας (ΕΕ) 2019/882)</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ρύθμιση της λειτουργίας της εσωτερικής αγοράς, όσον αφορά τις απαιτήσεις προσβασιμότητας, μέσω της εξάλειψης και πρόληψης φραγμών στην ελεύθερη κυκλοφορία, οι οποίοι προκύπτουν από αποκλίνουσες απαιτήσεις προσβασι- μότητας εντός της Ευρωπαϊκής Ένωσης, των προϊόντων και υποστηρικτικών υπηρεσιών που καλύπτονται από τον παρόντα.</w:t>
      </w:r>
    </w:p>
    <w:p>
      <w:pPr>
        <w:pStyle w:val="MainText"/>
        <w:spacing w:before="120" w:after="0"/>
        <w:rPr>
          <w:lang w:val="el" w:eastAsia="el"/>
        </w:rPr>
      </w:pPr>
      <w:r>
        <w:rPr>
          <w:b/>
          <w:bCs/>
          <w:lang w:val="el" w:eastAsia="el"/>
        </w:rPr>
        <w:t>2.</w:t>
      </w:r>
      <w:r>
        <w:rPr>
          <w:lang w:val="el" w:eastAsia="el"/>
        </w:rPr>
        <w:t xml:space="preserve"> Παράλληλα, διευκρινίζονται ζητήματα και απλοποιούνται διαδικασίες, προς ενίσχυση της οικονομικής ανάπτυξης.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ΤΗΣ ΟΔΗΓΙΑΣ (ΕΕ) 2019/882 ΤΟΥ ΕΥΡΩΠΑΪΚΟΥ ΚΟΙΝΟΒΟΥΛΙΟΥ ΚΑΙ</w:t>
      </w:r>
    </w:p>
    <w:p>
      <w:pPr>
        <w:spacing w:before="240" w:after="240"/>
        <w:rPr>
          <w:lang w:val="el" w:eastAsia="el"/>
        </w:rPr>
      </w:pPr>
      <w:r>
        <w:rPr>
          <w:b/>
          <w:bCs/>
          <w:lang w:val="el" w:eastAsia="el"/>
        </w:rPr>
        <w:t>ΤΟΥ ΣΥΜΒΟΥΛΙΟΥ, ΤΗΣ 17ΗΣ ΑΠΡΙΛΙΟΥ</w:t>
      </w:r>
    </w:p>
    <w:p>
      <w:pPr>
        <w:spacing w:before="240" w:after="240"/>
        <w:rPr>
          <w:lang w:val="el" w:eastAsia="el"/>
        </w:rPr>
      </w:pPr>
      <w:r>
        <w:rPr>
          <w:b/>
          <w:bCs/>
          <w:lang w:val="el" w:eastAsia="el"/>
        </w:rPr>
        <w:t>2019 ΣΧΕΤΙΚΑ ΜΕ ΤΙΣ ΑΠΑΙΤΗΣΕΙΣ ΠΡΟΣΒΑΣΙΜΟΤΗΤΑΣ ΠΡΟΪΌΝΤΩΝ</w:t>
      </w:r>
    </w:p>
    <w:p>
      <w:pPr>
        <w:spacing w:before="240" w:after="240"/>
        <w:rPr>
          <w:lang w:val="el" w:eastAsia="el"/>
        </w:rPr>
      </w:pPr>
      <w:r>
        <w:rPr>
          <w:b/>
          <w:bCs/>
          <w:lang w:val="el" w:eastAsia="el"/>
        </w:rPr>
        <w:t>ΚΑΙ ΥΠΗΡΕΣΙΩΝ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 ΕΙΣΑΓΩΓΙΚΕΣ ΔΙΑΤΑΞΕΙΣ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και παρ. 2 άρθρου 31 Οδηγίας (ΕΕ)</w:t>
      </w:r>
    </w:p>
    <w:p>
      <w:pPr>
        <w:spacing w:before="240" w:after="240"/>
        <w:rPr>
          <w:lang w:val="el" w:eastAsia="el"/>
        </w:rPr>
      </w:pPr>
      <w:r>
        <w:rPr>
          <w:b/>
          <w:bCs/>
          <w:lang w:val="el" w:eastAsia="el"/>
        </w:rPr>
        <w:t>2019/882)</w:t>
      </w:r>
    </w:p>
    <w:p>
      <w:pPr>
        <w:pStyle w:val="MainText"/>
        <w:spacing w:before="120" w:after="0"/>
        <w:rPr>
          <w:lang w:val="el" w:eastAsia="el"/>
        </w:rPr>
      </w:pPr>
      <w:r>
        <w:rPr>
          <w:b/>
          <w:bCs/>
          <w:lang w:val="el" w:eastAsia="el"/>
        </w:rPr>
        <w:t>1.</w:t>
      </w:r>
      <w:r>
        <w:rPr>
          <w:lang w:val="el" w:eastAsia="el"/>
        </w:rPr>
        <w:t xml:space="preserve"> Ο παρών εφαρμόζεται στα ακόλουθα προϊόντα:</w:t>
      </w:r>
    </w:p>
    <w:p>
      <w:pPr>
        <w:pStyle w:val="StructureList1"/>
        <w:spacing w:before="120" w:after="0"/>
        <w:rPr>
          <w:lang w:val="el" w:eastAsia="el"/>
        </w:rPr>
      </w:pPr>
      <w:r>
        <w:rPr>
          <w:lang w:val="el" w:eastAsia="el"/>
        </w:rPr>
        <w:t>α)</w:t>
      </w:r>
      <w:r>
        <w:rPr>
          <w:lang w:val="en" w:eastAsia="en"/>
        </w:rPr>
        <w:tab/>
      </w:r>
      <w:r>
        <w:rPr>
          <w:lang w:val="el" w:eastAsia="el"/>
        </w:rPr>
        <w:t>τα υλικά συστήματα πληροφορικής γενικής χρήσης από τους καταναλωτές και τα λειτουργικά συστήματα για τα εν λόγω υλικά συστήματα,</w:t>
      </w:r>
    </w:p>
    <w:p>
      <w:pPr>
        <w:pStyle w:val="StructureList1"/>
        <w:spacing w:before="120" w:after="0"/>
        <w:rPr>
          <w:lang w:val="el" w:eastAsia="el"/>
        </w:rPr>
      </w:pPr>
      <w:r>
        <w:rPr>
          <w:lang w:val="el" w:eastAsia="el"/>
        </w:rPr>
        <w:t>β)</w:t>
      </w:r>
      <w:r>
        <w:rPr>
          <w:lang w:val="en" w:eastAsia="en"/>
        </w:rPr>
        <w:tab/>
      </w:r>
      <w:r>
        <w:rPr>
          <w:lang w:val="el" w:eastAsia="el"/>
        </w:rPr>
        <w:t>τα ακόλουθα τερματικά αυτοεξυπηρέτησης:</w:t>
      </w:r>
    </w:p>
    <w:p>
      <w:pPr>
        <w:pStyle w:val="StructureList1"/>
        <w:spacing w:before="120" w:after="0"/>
        <w:rPr>
          <w:lang w:val="el" w:eastAsia="el"/>
        </w:rPr>
      </w:pPr>
      <w:r>
        <w:rPr>
          <w:lang w:val="el" w:eastAsia="el"/>
        </w:rPr>
        <w:t>βα)</w:t>
      </w:r>
      <w:r>
        <w:rPr>
          <w:lang w:val="en" w:eastAsia="en"/>
        </w:rPr>
        <w:tab/>
      </w:r>
      <w:r>
        <w:rPr>
          <w:lang w:val="el" w:eastAsia="el"/>
        </w:rPr>
        <w:t>τερματικά πληρωμών,</w:t>
      </w:r>
    </w:p>
    <w:p>
      <w:pPr>
        <w:pStyle w:val="StructureList1"/>
        <w:spacing w:before="120" w:after="0"/>
        <w:rPr>
          <w:lang w:val="el" w:eastAsia="el"/>
        </w:rPr>
      </w:pPr>
      <w:r>
        <w:rPr>
          <w:lang w:val="el" w:eastAsia="el"/>
        </w:rPr>
        <w:t>ββ)</w:t>
      </w:r>
      <w:r>
        <w:rPr>
          <w:lang w:val="en" w:eastAsia="en"/>
        </w:rPr>
        <w:tab/>
      </w:r>
      <w:r>
        <w:rPr>
          <w:lang w:val="el" w:eastAsia="el"/>
        </w:rPr>
        <w:t>τα ακόλουθα τερματικά αυτοεξυπηρέτησης που προορίζονται ειδικά για την παροχή υπηρεσιών που καλύπτονται από τον παρόντα:</w:t>
      </w:r>
    </w:p>
    <w:p>
      <w:pPr>
        <w:pStyle w:val="StructureList1"/>
        <w:spacing w:before="120" w:after="0"/>
        <w:rPr>
          <w:lang w:val="el" w:eastAsia="el"/>
        </w:rPr>
      </w:pPr>
      <w:r>
        <w:rPr>
          <w:lang w:val="el" w:eastAsia="el"/>
        </w:rPr>
        <w:t>i)</w:t>
      </w:r>
      <w:r>
        <w:rPr>
          <w:lang w:val="en" w:eastAsia="en"/>
        </w:rPr>
        <w:tab/>
      </w:r>
      <w:r>
        <w:rPr>
          <w:lang w:val="el" w:eastAsia="el"/>
        </w:rPr>
        <w:t>αυτόματες ταμειακές μηχανές,</w:t>
      </w:r>
    </w:p>
    <w:p>
      <w:pPr>
        <w:pStyle w:val="StructureList1"/>
        <w:spacing w:before="120" w:after="0"/>
        <w:rPr>
          <w:lang w:val="el" w:eastAsia="el"/>
        </w:rPr>
      </w:pPr>
      <w:r>
        <w:rPr>
          <w:lang w:val="el" w:eastAsia="el"/>
        </w:rPr>
        <w:t>ii)</w:t>
      </w:r>
      <w:r>
        <w:rPr>
          <w:lang w:val="en" w:eastAsia="en"/>
        </w:rPr>
        <w:tab/>
      </w:r>
      <w:r>
        <w:rPr>
          <w:lang w:val="el" w:eastAsia="el"/>
        </w:rPr>
        <w:t>μηχανήματα έκδοσης εισιτηρίων,</w:t>
      </w:r>
    </w:p>
    <w:p>
      <w:pPr>
        <w:pStyle w:val="StructureList1"/>
        <w:spacing w:before="120" w:after="0"/>
        <w:rPr>
          <w:lang w:val="el" w:eastAsia="el"/>
        </w:rPr>
      </w:pPr>
      <w:r>
        <w:rPr>
          <w:lang w:val="el" w:eastAsia="el"/>
        </w:rPr>
        <w:t>iii)</w:t>
      </w:r>
      <w:r>
        <w:rPr>
          <w:lang w:val="en" w:eastAsia="en"/>
        </w:rPr>
        <w:tab/>
      </w:r>
      <w:r>
        <w:rPr>
          <w:lang w:val="el" w:eastAsia="el"/>
        </w:rPr>
        <w:t>μηχανήματα ελέγχου εισιτηρίων,</w:t>
      </w:r>
    </w:p>
    <w:p>
      <w:pPr>
        <w:pStyle w:val="StructureList1"/>
        <w:spacing w:before="120" w:after="0"/>
        <w:rPr>
          <w:lang w:val="el" w:eastAsia="el"/>
        </w:rPr>
      </w:pPr>
      <w:r>
        <w:rPr>
          <w:lang w:val="el" w:eastAsia="el"/>
        </w:rPr>
        <w:t>iv)</w:t>
      </w:r>
      <w:r>
        <w:rPr>
          <w:lang w:val="en" w:eastAsia="en"/>
        </w:rPr>
        <w:tab/>
      </w:r>
      <w:r>
        <w:rPr>
          <w:lang w:val="el" w:eastAsia="el"/>
        </w:rPr>
        <w:t>διαδραστικά τερματικά αυτοεξυπηρέτησης που παρέχουν πληροφορίες, εκτός από τα τερματικά που εγκαθίστανται ως αναπόσπαστα τμήματα οχημάτων, αεροσκαφών, πλοίων ή τροχαίου υλικού,</w:t>
      </w:r>
    </w:p>
    <w:p>
      <w:pPr>
        <w:pStyle w:val="StructureList1"/>
        <w:spacing w:before="120" w:after="0"/>
        <w:rPr>
          <w:lang w:val="el" w:eastAsia="el"/>
        </w:rPr>
      </w:pPr>
      <w:r>
        <w:rPr>
          <w:lang w:val="el" w:eastAsia="el"/>
        </w:rPr>
        <w:t>γ)</w:t>
      </w:r>
      <w:r>
        <w:rPr>
          <w:lang w:val="en" w:eastAsia="en"/>
        </w:rPr>
        <w:tab/>
      </w:r>
      <w:r>
        <w:rPr>
          <w:lang w:val="el" w:eastAsia="el"/>
        </w:rPr>
        <w:t>τον τερματικό εξοπλισμό καταναλωτών με διαδρα- στικές υπολογιστικές δυνατότητες που χρησιμοποιείται για την παροχή υπηρεσιών ηλεκτρονικών επικοινωνιών, δ) τον τερματικό εξοπλισμό καταναλωτών με διαδρα- στική υπολογιστική δυνατότητα που χρησιμοποιείται για την πρόσβαση σε υπηρεσίες οπτικοακουστικών μέσων, και</w:t>
      </w:r>
    </w:p>
    <w:p>
      <w:pPr>
        <w:pStyle w:val="StructureList1"/>
        <w:spacing w:before="120" w:after="0"/>
        <w:rPr>
          <w:lang w:val="el" w:eastAsia="el"/>
        </w:rPr>
      </w:pPr>
      <w:r>
        <w:rPr>
          <w:lang w:val="el" w:eastAsia="el"/>
        </w:rPr>
        <w:t>ε)</w:t>
      </w:r>
      <w:r>
        <w:rPr>
          <w:lang w:val="en" w:eastAsia="en"/>
        </w:rPr>
        <w:tab/>
      </w:r>
      <w:r>
        <w:rPr>
          <w:lang w:val="el" w:eastAsia="el"/>
        </w:rPr>
        <w:t>τις συσκευές ανάγνωσης ηλεκτρονικών βιβλίων.</w:t>
      </w:r>
    </w:p>
    <w:p>
      <w:pPr>
        <w:pStyle w:val="MainText"/>
        <w:spacing w:before="120" w:after="0"/>
        <w:rPr>
          <w:lang w:val="el" w:eastAsia="el"/>
        </w:rPr>
      </w:pPr>
      <w:r>
        <w:rPr>
          <w:b/>
          <w:bCs/>
          <w:lang w:val="el" w:eastAsia="el"/>
        </w:rPr>
        <w:t>2.</w:t>
      </w:r>
      <w:r>
        <w:rPr>
          <w:lang w:val="el" w:eastAsia="el"/>
        </w:rPr>
        <w:t xml:space="preserve"> Με την επιφύλαξη του άρθρου 28, ο παρών εφαρμόζεται στις ακόλουθες υπηρεσίες:</w:t>
      </w:r>
    </w:p>
    <w:p>
      <w:pPr>
        <w:pStyle w:val="StructureList1"/>
        <w:spacing w:before="120" w:after="0"/>
        <w:rPr>
          <w:lang w:val="el" w:eastAsia="el"/>
        </w:rPr>
      </w:pPr>
      <w:r>
        <w:rPr>
          <w:lang w:val="el" w:eastAsia="el"/>
        </w:rPr>
        <w:t>α)</w:t>
      </w:r>
      <w:r>
        <w:rPr>
          <w:lang w:val="en" w:eastAsia="en"/>
        </w:rPr>
        <w:tab/>
      </w:r>
      <w:r>
        <w:rPr>
          <w:lang w:val="el" w:eastAsia="el"/>
        </w:rPr>
        <w:t>τις υπηρεσίες ηλεκτρονικών επικοινωνιών πλην των υπηρεσιών μετάδοσης, οι οποίες χρησιμοποιούνται για την παροχή υπηρεσιών μεταξύ μηχανών,</w:t>
      </w:r>
    </w:p>
    <w:p>
      <w:pPr>
        <w:pStyle w:val="StructureList1"/>
        <w:spacing w:before="120" w:after="0"/>
        <w:rPr>
          <w:lang w:val="el" w:eastAsia="el"/>
        </w:rPr>
      </w:pPr>
      <w:r>
        <w:rPr>
          <w:lang w:val="el" w:eastAsia="el"/>
        </w:rPr>
        <w:t>β)</w:t>
      </w:r>
      <w:r>
        <w:rPr>
          <w:lang w:val="en" w:eastAsia="en"/>
        </w:rPr>
        <w:tab/>
      </w:r>
      <w:r>
        <w:rPr>
          <w:lang w:val="el" w:eastAsia="el"/>
        </w:rPr>
        <w:t>τις υπηρεσίες που παρέχουν πρόσβαση σε υπηρεσίες οπτικοακουστικών μέσων,</w:t>
      </w:r>
    </w:p>
    <w:p>
      <w:pPr>
        <w:pStyle w:val="StructureList1"/>
        <w:spacing w:before="120" w:after="0"/>
        <w:rPr>
          <w:lang w:val="el" w:eastAsia="el"/>
        </w:rPr>
      </w:pPr>
      <w:r>
        <w:rPr>
          <w:lang w:val="el" w:eastAsia="el"/>
        </w:rPr>
        <w:t>γ)</w:t>
      </w:r>
      <w:r>
        <w:rPr>
          <w:lang w:val="en" w:eastAsia="en"/>
        </w:rPr>
        <w:tab/>
      </w:r>
      <w:r>
        <w:rPr>
          <w:lang w:val="el" w:eastAsia="el"/>
        </w:rPr>
        <w:t>τα ακόλουθα στοιχεία των υπηρεσιών επιβατικών μεταφορών με αεροπορικά μέσα, λεωφορεία, σιδηροδρομικά και πλωτά μέσα, με εξαίρεση τις υπηρεσίες αστικών, προαστιακών και περιφερειακών υπηρεσιών μεταφορών για τις οποίες ισχύει μόνο η υποπερ. γε):</w:t>
      </w:r>
    </w:p>
    <w:p>
      <w:pPr>
        <w:pStyle w:val="StructureList1"/>
        <w:spacing w:before="120" w:after="0"/>
        <w:rPr>
          <w:lang w:val="el" w:eastAsia="el"/>
        </w:rPr>
      </w:pPr>
      <w:r>
        <w:rPr>
          <w:lang w:val="el" w:eastAsia="el"/>
        </w:rPr>
        <w:t>γα)</w:t>
      </w:r>
      <w:r>
        <w:rPr>
          <w:lang w:val="en" w:eastAsia="en"/>
        </w:rPr>
        <w:tab/>
      </w:r>
      <w:r>
        <w:rPr>
          <w:lang w:val="el" w:eastAsia="el"/>
        </w:rPr>
        <w:t>δικτυακούς τόπους. Ειδικότερα για τους δικτυ- ακούς τόπους των οργανισμών του δημόσιου τομέα, όπως αυτοί ορίζονται στην περ. 1 του άρθρου 38 του ν. 4727/2020 (Α’ 184), ισχύουν τα οριζόμενα στην παρ. 3 του άρθρου 22 του παρόντος.</w:t>
      </w:r>
    </w:p>
    <w:p>
      <w:pPr>
        <w:pStyle w:val="StructureList1"/>
        <w:spacing w:before="120" w:after="0"/>
        <w:rPr>
          <w:lang w:val="el" w:eastAsia="el"/>
        </w:rPr>
      </w:pPr>
      <w:r>
        <w:rPr>
          <w:lang w:val="el" w:eastAsia="el"/>
        </w:rPr>
        <w:t>γβ)</w:t>
      </w:r>
      <w:r>
        <w:rPr>
          <w:lang w:val="en" w:eastAsia="en"/>
        </w:rPr>
        <w:tab/>
      </w:r>
      <w:r>
        <w:rPr>
          <w:lang w:val="el" w:eastAsia="el"/>
        </w:rPr>
        <w:t>υπηρεσίες για φορητές συσκευές, συμπεριλαμβανομένων των φορητών εφαρμογών. Ειδικότερα για τις εφαρμογές για φορητές συσκευές των οργανισμών του δημόσιου τομέα, όπως αυτοί ορίζονται στην περ. 1 του άρθρου 38 του ν. 4727/2020, ισχύουν τα οριζόμενα στην παρ. 3 του άρθρου 22 του παρόντος.</w:t>
      </w:r>
    </w:p>
    <w:p>
      <w:pPr>
        <w:pStyle w:val="StructureList1"/>
        <w:spacing w:before="120" w:after="0"/>
        <w:rPr>
          <w:lang w:val="el" w:eastAsia="el"/>
        </w:rPr>
      </w:pPr>
      <w:r>
        <w:rPr>
          <w:lang w:val="el" w:eastAsia="el"/>
        </w:rPr>
        <w:t>γγ)</w:t>
      </w:r>
      <w:r>
        <w:rPr>
          <w:lang w:val="en" w:eastAsia="en"/>
        </w:rPr>
        <w:tab/>
      </w:r>
      <w:r>
        <w:rPr>
          <w:lang w:val="el" w:eastAsia="el"/>
        </w:rPr>
        <w:t>ηλεκτρονικά εισιτήρια και υπηρεσίες ηλεκτρονικής έκδοσης εισιτηρίων,</w:t>
      </w:r>
    </w:p>
    <w:p>
      <w:pPr>
        <w:pStyle w:val="StructureList1"/>
        <w:spacing w:before="120" w:after="0"/>
        <w:rPr>
          <w:lang w:val="el" w:eastAsia="el"/>
        </w:rPr>
      </w:pPr>
      <w:r>
        <w:rPr>
          <w:lang w:val="el" w:eastAsia="el"/>
        </w:rPr>
        <w:t>γδ)</w:t>
      </w:r>
      <w:r>
        <w:rPr>
          <w:lang w:val="en" w:eastAsia="en"/>
        </w:rPr>
        <w:tab/>
      </w:r>
      <w:r>
        <w:rPr>
          <w:lang w:val="el" w:eastAsia="el"/>
        </w:rPr>
        <w:t>μετάδοση πληροφοριών σχετικά με υπηρεσίες μεταφορών, συμπεριλαμβανομένων των ταξιδιωτικών πληροφοριών σε πραγματικό χρόνο. Ειδικά ως προς τις οθόνες πληροφοριών, αφορά μόνον στις διαδραστικές οθόνες που βρίσκονται εντός της ελληνικής επικράτειας, και</w:t>
      </w:r>
    </w:p>
    <w:p>
      <w:pPr>
        <w:pStyle w:val="StructureList1"/>
        <w:spacing w:before="120" w:after="0"/>
        <w:rPr>
          <w:lang w:val="el" w:eastAsia="el"/>
        </w:rPr>
      </w:pPr>
      <w:r>
        <w:rPr>
          <w:lang w:val="el" w:eastAsia="el"/>
        </w:rPr>
        <w:t>γε)</w:t>
      </w:r>
      <w:r>
        <w:rPr>
          <w:lang w:val="en" w:eastAsia="en"/>
        </w:rPr>
        <w:tab/>
      </w:r>
      <w:r>
        <w:rPr>
          <w:lang w:val="el" w:eastAsia="el"/>
        </w:rPr>
        <w:t>διαδραστικά αυτοεξυπηρέτησης που βρίσκονται εντός της Ευρωπαϊκής Ένωσης (ΕΕ), πλην όσων είναι εγκατεστημένα ως αναπόσπαστα τμήματα οχημάτων, αεροσκαφών, πλοίων ή τροχαίου υλικού που χρησιμοποιείται στην παροχή οποιουδήποτε τμήματος των εν λόγω υπηρεσιών επιβατικών μεταφορών,</w:t>
      </w:r>
    </w:p>
    <w:p>
      <w:pPr>
        <w:pStyle w:val="StructureList1"/>
        <w:spacing w:before="120" w:after="0"/>
        <w:rPr>
          <w:lang w:val="el" w:eastAsia="el"/>
        </w:rPr>
      </w:pPr>
      <w:r>
        <w:rPr>
          <w:lang w:val="el" w:eastAsia="el"/>
        </w:rPr>
        <w:t>δ)</w:t>
      </w:r>
      <w:r>
        <w:rPr>
          <w:lang w:val="en" w:eastAsia="en"/>
        </w:rPr>
        <w:tab/>
      </w:r>
      <w:r>
        <w:rPr>
          <w:lang w:val="el" w:eastAsia="el"/>
        </w:rPr>
        <w:t>τραπεζικές υπηρεσίες για καταναλωτές,</w:t>
      </w:r>
    </w:p>
    <w:p>
      <w:pPr>
        <w:pStyle w:val="StructureList1"/>
        <w:spacing w:before="120" w:after="0"/>
        <w:rPr>
          <w:lang w:val="el" w:eastAsia="el"/>
        </w:rPr>
      </w:pPr>
      <w:r>
        <w:rPr>
          <w:lang w:val="el" w:eastAsia="el"/>
        </w:rPr>
        <w:t>ε)</w:t>
      </w:r>
      <w:r>
        <w:rPr>
          <w:lang w:val="en" w:eastAsia="en"/>
        </w:rPr>
        <w:tab/>
      </w:r>
      <w:r>
        <w:rPr>
          <w:lang w:val="el" w:eastAsia="el"/>
        </w:rPr>
        <w:t>ηλεκτρονικά βιβλία και υλικό εξοπλισμό που προορίζεται ειδικά για αυτά, και</w:t>
      </w:r>
    </w:p>
    <w:p>
      <w:pPr>
        <w:pStyle w:val="StructureList1"/>
        <w:spacing w:before="120" w:after="0"/>
        <w:rPr>
          <w:lang w:val="el" w:eastAsia="el"/>
        </w:rPr>
      </w:pPr>
      <w:r>
        <w:rPr>
          <w:lang w:val="el" w:eastAsia="el"/>
        </w:rPr>
        <w:t>στ)</w:t>
      </w:r>
      <w:r>
        <w:rPr>
          <w:lang w:val="en" w:eastAsia="en"/>
        </w:rPr>
        <w:tab/>
      </w:r>
      <w:r>
        <w:rPr>
          <w:lang w:val="el" w:eastAsia="el"/>
        </w:rPr>
        <w:t>υπηρεσίες ηλεκτρονικού εμπορίου.</w:t>
      </w:r>
    </w:p>
    <w:p>
      <w:pPr>
        <w:pStyle w:val="MainText"/>
        <w:spacing w:before="120" w:after="0"/>
        <w:rPr>
          <w:lang w:val="el" w:eastAsia="el"/>
        </w:rPr>
      </w:pPr>
      <w:r>
        <w:rPr>
          <w:b/>
          <w:bCs/>
          <w:lang w:val="el" w:eastAsia="el"/>
        </w:rPr>
        <w:t>3.</w:t>
      </w:r>
      <w:r>
        <w:rPr>
          <w:lang w:val="el" w:eastAsia="el"/>
        </w:rPr>
        <w:t xml:space="preserve"> Ο παρών εφαρμόζεται στη διαχείριση των εισερχόμενων και εξερχόμενων επικοινωνιών έκτακτης ανάγκης προς και από τον ενιαίο ευρωπαϊκό αριθμό έκτακτης ανάγκης «112», μετά την 28η Ιουνίου 2027.</w:t>
      </w:r>
    </w:p>
    <w:p>
      <w:pPr>
        <w:pStyle w:val="MainText"/>
        <w:spacing w:before="120" w:after="0"/>
        <w:rPr>
          <w:lang w:val="el" w:eastAsia="el"/>
        </w:rPr>
      </w:pPr>
      <w:r>
        <w:rPr>
          <w:b/>
          <w:bCs/>
          <w:lang w:val="el" w:eastAsia="el"/>
        </w:rPr>
        <w:t>4.</w:t>
      </w:r>
      <w:r>
        <w:rPr>
          <w:lang w:val="el" w:eastAsia="el"/>
        </w:rPr>
        <w:t xml:space="preserve"> Ο παρών δεν εφαρμόζεται στο ακόλουθο περιεχόμενο δικτυακών τόπων και φορητών εφαρμογών:</w:t>
      </w:r>
    </w:p>
    <w:p>
      <w:pPr>
        <w:pStyle w:val="StructureList1"/>
        <w:spacing w:before="120" w:after="0"/>
        <w:rPr>
          <w:lang w:val="el" w:eastAsia="el"/>
        </w:rPr>
      </w:pPr>
      <w:r>
        <w:rPr>
          <w:lang w:val="el" w:eastAsia="el"/>
        </w:rPr>
        <w:t>α)</w:t>
      </w:r>
      <w:r>
        <w:rPr>
          <w:lang w:val="en" w:eastAsia="en"/>
        </w:rPr>
        <w:tab/>
      </w:r>
      <w:r>
        <w:rPr>
          <w:lang w:val="el" w:eastAsia="el"/>
        </w:rPr>
        <w:t>στα προεγγεγραμμένα μέσα με διάσταση χρόνου που θα δημοσιευθούν μέχρι την 28η Ιουνίου 2025,</w:t>
      </w:r>
    </w:p>
    <w:p>
      <w:pPr>
        <w:pStyle w:val="StructureList1"/>
        <w:spacing w:before="120" w:after="0"/>
        <w:rPr>
          <w:lang w:val="el" w:eastAsia="el"/>
        </w:rPr>
      </w:pPr>
      <w:r>
        <w:rPr>
          <w:lang w:val="el" w:eastAsia="el"/>
        </w:rPr>
        <w:t>β)</w:t>
      </w:r>
      <w:r>
        <w:rPr>
          <w:lang w:val="en" w:eastAsia="en"/>
        </w:rPr>
        <w:tab/>
      </w:r>
      <w:r>
        <w:rPr>
          <w:lang w:val="el" w:eastAsia="el"/>
        </w:rPr>
        <w:t>στους μορφότυπους αρχείου γραφείου που θα δη- μοσιευθούν μέχρι την 28η Ιουνίου 2025,</w:t>
      </w:r>
    </w:p>
    <w:p>
      <w:pPr>
        <w:pStyle w:val="StructureList1"/>
        <w:spacing w:before="120" w:after="0"/>
        <w:rPr>
          <w:lang w:val="el" w:eastAsia="el"/>
        </w:rPr>
      </w:pPr>
      <w:r>
        <w:rPr>
          <w:lang w:val="el" w:eastAsia="el"/>
        </w:rPr>
        <w:t>γ)</w:t>
      </w:r>
      <w:r>
        <w:rPr>
          <w:lang w:val="en" w:eastAsia="en"/>
        </w:rPr>
        <w:tab/>
      </w:r>
      <w:r>
        <w:rPr>
          <w:lang w:val="el" w:eastAsia="el"/>
        </w:rPr>
        <w:t>στους επιγραμμικούς χάρτες και υπηρεσίες χαρτογράφησης, εφόσον παρέχονται αναγκαίες πληροφορίες με προσβάσιμο ψηφιακό τρόπο και προορίζονται για χρήσεις πλοήγησης,</w:t>
      </w:r>
    </w:p>
    <w:p>
      <w:pPr>
        <w:pStyle w:val="StructureList1"/>
        <w:spacing w:before="120" w:after="0"/>
        <w:rPr>
          <w:lang w:val="el" w:eastAsia="el"/>
        </w:rPr>
      </w:pPr>
      <w:r>
        <w:rPr>
          <w:lang w:val="el" w:eastAsia="el"/>
        </w:rPr>
        <w:t>δ)</w:t>
      </w:r>
      <w:r>
        <w:rPr>
          <w:lang w:val="en" w:eastAsia="en"/>
        </w:rPr>
        <w:tab/>
      </w:r>
      <w:r>
        <w:rPr>
          <w:lang w:val="el" w:eastAsia="el"/>
        </w:rPr>
        <w:t>στο περιεχόμενο τρίτου μέρους το οποίο ούτε χρηματοδοτείται, ούτε αναπτύσσεται από τον οικονομικό φορέα, ούτε είναι υπό τον έλεγχό του,</w:t>
      </w:r>
    </w:p>
    <w:p>
      <w:pPr>
        <w:pStyle w:val="StructureList1"/>
        <w:spacing w:before="120" w:after="0"/>
        <w:rPr>
          <w:lang w:val="el" w:eastAsia="el"/>
        </w:rPr>
      </w:pPr>
      <w:r>
        <w:rPr>
          <w:lang w:val="el" w:eastAsia="el"/>
        </w:rPr>
        <w:t>ε)</w:t>
      </w:r>
      <w:r>
        <w:rPr>
          <w:lang w:val="en" w:eastAsia="en"/>
        </w:rPr>
        <w:tab/>
      </w:r>
      <w:r>
        <w:rPr>
          <w:lang w:val="el" w:eastAsia="el"/>
        </w:rPr>
        <w:t>στο περιεχόμενο των δικτυακών τόπων και των φορητών εφαρμογών που χαρακτηρίζονται ως αρχεία, και περιέχουν αποκλειστικά περιεχόμενο που δεν επι- καιροποιείται ή τίθεται υπό δημοσίευση μετά την 28η Ιουνίου 2025.</w:t>
      </w:r>
    </w:p>
    <w:p>
      <w:pPr>
        <w:pStyle w:val="MainText"/>
        <w:spacing w:before="120" w:after="0"/>
        <w:rPr>
          <w:lang w:val="el" w:eastAsia="el"/>
        </w:rPr>
      </w:pPr>
      <w:r>
        <w:rPr>
          <w:b/>
          <w:bCs/>
          <w:lang w:val="el" w:eastAsia="el"/>
        </w:rPr>
        <w:t>5.</w:t>
      </w:r>
      <w:r>
        <w:rPr>
          <w:lang w:val="el" w:eastAsia="el"/>
        </w:rPr>
        <w:t xml:space="preserve"> Ο παρών εφαρμόζεται με την επιφύλαξη του ν. 4672/2020 (Α’ 48), περί επιτρεπόμενων χρήσεων προ- στατευόμενων έργων και άλλων αντικειμένων προστασίας, δυνάμει δικαιωμάτων πνευματικής ιδιοκτησίας και συγγενικών δικαιωμάτων, προς όφελος των τυφλών, αμ- βλυώπων και των ατόμων με προβλήματα ανάγνωσης εντύπων, καθώς και του Κανονισμού (ΕΕ) 2017/1563 του Ευρωπαϊκού Κοινοβουλίου και του Συμβουλίου της 13ης Σεπτεμβρίου 2017 «για τη διασυνοριακή ανταλλαγή μεταξύ της Ένωσης και τρίτων χωρών αντιγράφων σε προσβάσιμο μορφότυπο ορισμένων προστατευόμενων έργων και άλλων αντικειμένων προστασίας δυνάμει δικαιωμάτων πνευματικής ιδιοκτησίας και συγγενικών δικαιωμάτων προς όφελος των τυφλών, των αμβλυώπων ή ατόμων με άλλα προβλήματα ανάγνωσης εντύπων» (L 242).</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3 Οδηγίας (ΕΕ) 2019/882)</w:t>
      </w:r>
    </w:p>
    <w:p>
      <w:pPr>
        <w:spacing w:before="240" w:after="240"/>
        <w:rPr>
          <w:lang w:val="el" w:eastAsia="el"/>
        </w:rPr>
      </w:pPr>
      <w:r>
        <w:rPr>
          <w:lang w:val="el" w:eastAsia="el"/>
        </w:rPr>
        <w:t>Για τους σκοπούς του παρόντος ισχύουν οι ακόλουθοι ορισμοί:</w:t>
      </w:r>
    </w:p>
    <w:p>
      <w:pPr>
        <w:spacing w:before="240" w:after="240"/>
        <w:rPr>
          <w:lang w:val="el" w:eastAsia="el"/>
        </w:rPr>
      </w:pPr>
      <w:r>
        <w:rPr>
          <w:lang w:val="el" w:eastAsia="el"/>
        </w:rPr>
        <w:t>1) «Άτομα με αναπηρία»: τα άτομα με μακροχρόνιες σωματικές, ψυχικές, νοητικές ή αισθητηριακές διαταραχές, οι οποίες, σε αλληλεπίδραση με διάφορα εμπόδια, δύνανται να παρεμποδίσουν την πλήρη και αποτελεσματική συμμετοχή τους στην κοινωνία σε ίση βάση με τους άλλους.</w:t>
      </w:r>
    </w:p>
    <w:p>
      <w:pPr>
        <w:spacing w:before="240" w:after="240"/>
        <w:rPr>
          <w:lang w:val="el" w:eastAsia="el"/>
        </w:rPr>
      </w:pPr>
      <w:r>
        <w:rPr>
          <w:lang w:val="el" w:eastAsia="el"/>
        </w:rPr>
        <w:t>2) «Προϊόν»: η ουσία, παρασκεύασμα ή αγαθό που παράγεται μέσω μεταποιητικής διεργασίας, εκτός από τα τρόφιμα, τις ζωοτροφές, τα ζώντα φυτά και ζώα, τα προϊόντα ανθρώπινης προέλευσης και τα προϊόντα φυτών και ζώων που σχετίζονται άμεσα με τη μελλοντική αναπαραγωγή τους.</w:t>
      </w:r>
    </w:p>
    <w:p>
      <w:pPr>
        <w:spacing w:before="240" w:after="240"/>
        <w:rPr>
          <w:lang w:val="el" w:eastAsia="el"/>
        </w:rPr>
      </w:pPr>
      <w:r>
        <w:rPr>
          <w:lang w:val="el" w:eastAsia="el"/>
        </w:rPr>
        <w:t>3) «Υπηρεσία»: η υπηρεσία κατά την περ. 1 του άρθρου 2 του ν. 3844/2010 (Α’ 63).</w:t>
      </w:r>
    </w:p>
    <w:p>
      <w:pPr>
        <w:spacing w:before="240" w:after="240"/>
        <w:rPr>
          <w:lang w:val="el" w:eastAsia="el"/>
        </w:rPr>
      </w:pPr>
      <w:r>
        <w:rPr>
          <w:lang w:val="el" w:eastAsia="el"/>
        </w:rPr>
        <w:t>4) «Πάροχος υπηρεσιών»: κάθε φυσικό ή νομικό πρόσωπο που παρέχει μια υπηρεσία ή προβαίνει σε προσφορές για την παροχή τέτοιας υπηρεσίας στους καταναλωτές.</w:t>
      </w:r>
    </w:p>
    <w:p>
      <w:pPr>
        <w:spacing w:before="240" w:after="240"/>
        <w:rPr>
          <w:lang w:val="el" w:eastAsia="el"/>
        </w:rPr>
      </w:pPr>
      <w:r>
        <w:rPr>
          <w:lang w:val="el" w:eastAsia="el"/>
        </w:rPr>
        <w:t>5) «Υπηρεσίες οπτικοακουστικών μέσων»: οι υπηρεσίες της περ. α’ της παρ. 1 του άρθρου 2 του ν. 4779/2021 (Α’ 27).</w:t>
      </w:r>
    </w:p>
    <w:p>
      <w:pPr>
        <w:spacing w:before="240" w:after="240"/>
        <w:rPr>
          <w:lang w:val="el" w:eastAsia="el"/>
        </w:rPr>
      </w:pPr>
      <w:r>
        <w:rPr>
          <w:lang w:val="el" w:eastAsia="el"/>
        </w:rPr>
        <w:t>6) «Υπηρεσίες που παρέχουν πρόσβαση σε υπηρεσίες οπτικοακουστικών μέσων»: οι υπηρεσίες που μεταδίδονται μέσω δικτύου ηλεκτρονικών επικοινωνιών, οι οποίες χρησιμοποιούνται για την ταυτοποίηση, την επιλογή, τη λήψη πληροφοριών και την παρακολούθηση υπηρεσιών οπτικοακουστικών μέσων και όλων των παρεχόμενων χαρακτηριστικών, όπως η εμφάνιση υποτίτλων για τα κωφά και βαρήκοα άτομα, η ακουστική περιγραφή, οι εκφωνούμενοι υπότιτλοι και η διερμηνεία στη νοηματική γλώσσα, σύμφωνα με το άρθρο 10 του ν. 4779/2021 και τον παρόντα και περιλαμβάνουν ηλεκτρονικούς οδηγούς προγραμμάτων («EPG»).</w:t>
      </w:r>
    </w:p>
    <w:p>
      <w:pPr>
        <w:spacing w:before="240" w:after="240"/>
        <w:rPr>
          <w:lang w:val="el" w:eastAsia="el"/>
        </w:rPr>
      </w:pPr>
      <w:r>
        <w:rPr>
          <w:lang w:val="el" w:eastAsia="el"/>
        </w:rPr>
        <w:t>7) «Καταναλωτικός τερματικός εξοπλισμός με διαδρα- στική υπολογιστική ικανότητα που χρησιμοποιείται για την παροχή πρόσβασης σε υπηρεσίες οπτικοακουστικών μέσων»: κάθε είδους εξοπλισμός του οποίου κύριος σκοπός είναι να παρέχει πρόσβαση σε υπηρεσίες οπτικοα- κουστικών μέσων.</w:t>
      </w:r>
    </w:p>
    <w:p>
      <w:pPr>
        <w:spacing w:before="240" w:after="240"/>
        <w:rPr>
          <w:lang w:val="el" w:eastAsia="el"/>
        </w:rPr>
      </w:pPr>
      <w:r>
        <w:rPr>
          <w:lang w:val="el" w:eastAsia="el"/>
        </w:rPr>
        <w:t>8) «Υπηρεσία ηλεκτρονικών επικοινωνιών»: η υπηρεσία ηλεκτρονικών επικοινωνιών της περ. 39 της παρ. Α’ του άρθρου 110 του ν. 4727/2020 (Α’ 184).</w:t>
      </w:r>
    </w:p>
    <w:p>
      <w:pPr>
        <w:spacing w:before="240" w:after="240"/>
        <w:rPr>
          <w:lang w:val="el" w:eastAsia="el"/>
        </w:rPr>
      </w:pPr>
      <w:r>
        <w:rPr>
          <w:lang w:val="el" w:eastAsia="el"/>
        </w:rPr>
        <w:t>9) «Υπηρεσίες πλήρους συνομιλίας»: οι υπηρεσίες πλήρους συνομιλίας της περ. 40 της παρ. Α’ του άρθρου 110 του ν. 4727/2020.</w:t>
      </w:r>
    </w:p>
    <w:p>
      <w:pPr>
        <w:spacing w:before="240" w:after="240"/>
        <w:rPr>
          <w:lang w:val="el" w:eastAsia="el"/>
        </w:rPr>
      </w:pPr>
      <w:r>
        <w:rPr>
          <w:lang w:val="el" w:eastAsia="el"/>
        </w:rPr>
        <w:t>10) «Κέντρο λήψης κλήσεων έκτακτης ανάγκης»: το κέντρο λήψης κλήσεων έκτακτης ανάγκης ή «PSAP» της περ. 16 της παρ. Α’ του άρθρου 110 του ν. 4727/2020.</w:t>
      </w:r>
    </w:p>
    <w:p>
      <w:pPr>
        <w:spacing w:before="240" w:after="240"/>
        <w:rPr>
          <w:lang w:val="el" w:eastAsia="el"/>
        </w:rPr>
      </w:pPr>
      <w:r>
        <w:rPr>
          <w:lang w:val="el" w:eastAsia="el"/>
        </w:rPr>
        <w:t>11) «Πλέον κατάλληλο PSAP»: το πλέον κατάλληλο «PSAP» της περ. 21 της παρ. Α’ του άρθρου 110 του ν. 4727/2020.</w:t>
      </w:r>
    </w:p>
    <w:p>
      <w:pPr>
        <w:spacing w:before="240" w:after="240"/>
        <w:rPr>
          <w:lang w:val="el" w:eastAsia="el"/>
        </w:rPr>
      </w:pPr>
      <w:r>
        <w:rPr>
          <w:lang w:val="el" w:eastAsia="el"/>
        </w:rPr>
        <w:t>12) «Επικοινωνίες έκτακτης ανάγκης»: οι επικοινωνίες έκτακτης ανάγκης της περ. 13 της παρ. Α’ του άρθρου 110 του ν. 4727/2020.</w:t>
      </w:r>
    </w:p>
    <w:p>
      <w:pPr>
        <w:spacing w:before="240" w:after="240"/>
        <w:rPr>
          <w:lang w:val="el" w:eastAsia="el"/>
        </w:rPr>
      </w:pPr>
      <w:r>
        <w:rPr>
          <w:lang w:val="el" w:eastAsia="el"/>
        </w:rPr>
        <w:t>13) «Υπηρεσία έκτακτης ανάγκης»: η υπηρεσία έκτακτης ανάγκης της περ. 35 της παρ. Α’ του άρθρου 110 του ν. 4727/2020.</w:t>
      </w:r>
    </w:p>
    <w:p>
      <w:pPr>
        <w:spacing w:before="240" w:after="240"/>
        <w:rPr>
          <w:lang w:val="el" w:eastAsia="el"/>
        </w:rPr>
      </w:pPr>
      <w:r>
        <w:rPr>
          <w:lang w:val="el" w:eastAsia="el"/>
        </w:rPr>
        <w:t>14) «Κείμενο σε πραγματικό χρόνο»: η συνομιλία μέσω κειμένου από ένα σημείο σε άλλο ή τηλεδιασκέψεις πολλαπλών σημείων όπου το κείμενο που εισάγεται αποστέλλεται το ένα στοιχείο μετά το άλλο κατά τέτοιον τρόπον ώστε η επικοινωνία να γίνεται αντιληπτή από τον χρήστη ως συνεχής διεργασία.</w:t>
      </w:r>
    </w:p>
    <w:p>
      <w:pPr>
        <w:spacing w:before="240" w:after="240"/>
        <w:rPr>
          <w:lang w:val="el" w:eastAsia="el"/>
        </w:rPr>
      </w:pPr>
      <w:r>
        <w:rPr>
          <w:lang w:val="el" w:eastAsia="el"/>
        </w:rPr>
        <w:t>15) «Διαθεσιμότητα στην αγορά»: κάθε προσφορά προϊόντος για διανομή, κατανάλωση ή χρήση στην ενω- σιακή αγορά στο πλαίσιο εμπορικής δραστηριότητας, έναντι αντιτίμου ή δωρεάν.</w:t>
      </w:r>
    </w:p>
    <w:p>
      <w:pPr>
        <w:spacing w:before="240" w:after="240"/>
        <w:rPr>
          <w:lang w:val="el" w:eastAsia="el"/>
        </w:rPr>
      </w:pPr>
      <w:r>
        <w:rPr>
          <w:lang w:val="el" w:eastAsia="el"/>
        </w:rPr>
        <w:t>16) «Διάθεση στην αγορά»: η πρώτη φορά κατά την οποία προϊόν καθίσταται διαθέσιμο στην ενωσιακή αγορά.</w:t>
      </w:r>
    </w:p>
    <w:p>
      <w:pPr>
        <w:spacing w:before="240" w:after="240"/>
        <w:rPr>
          <w:lang w:val="el" w:eastAsia="el"/>
        </w:rPr>
      </w:pPr>
      <w:r>
        <w:rPr>
          <w:lang w:val="el" w:eastAsia="el"/>
        </w:rPr>
        <w:t>17) «Κατασκευαστής»: κάθε φυσικό ή νομικό πρόσωπο που κατασκευάζει ένα προϊόν ή αναθέτει σε άλλους τον σχεδιασμό ή την κατασκευή ενός προϊόντος και το προωθεί στην αγορά υπό την επωνυμία ή το εμπορικό σήμα του.</w:t>
      </w:r>
    </w:p>
    <w:p>
      <w:pPr>
        <w:spacing w:before="240" w:after="240"/>
        <w:rPr>
          <w:lang w:val="el" w:eastAsia="el"/>
        </w:rPr>
      </w:pPr>
      <w:r>
        <w:rPr>
          <w:lang w:val="el" w:eastAsia="el"/>
        </w:rPr>
        <w:t>18) «Εξουσιοδοτημένος αντιπρόσωπος»: κάθε φυσικό ή νομικό πρόσωπο, εγκατεστημένο στην Ευρωπαϊκή Ένωση (ΕΕ), που έχει λάβει γραπτή εντολή από κατασκευαστή να ενεργεί εξ ονόματός του για την εκτέλεση συγκεκριμένων καθηκόντων.</w:t>
      </w:r>
    </w:p>
    <w:p>
      <w:pPr>
        <w:spacing w:before="240" w:after="240"/>
        <w:rPr>
          <w:lang w:val="el" w:eastAsia="el"/>
        </w:rPr>
      </w:pPr>
      <w:r>
        <w:rPr>
          <w:lang w:val="el" w:eastAsia="el"/>
        </w:rPr>
        <w:t>19) «Εισαγωγέας»: κάθε φυσικό ή νομικό πρόσωπο εγκατεστημένο στην ΕΕ που διαθέτει προϊόν τρίτης χώρας στην αγορά της ΕΕ.</w:t>
      </w:r>
    </w:p>
    <w:p>
      <w:pPr>
        <w:spacing w:before="240" w:after="240"/>
        <w:rPr>
          <w:lang w:val="el" w:eastAsia="el"/>
        </w:rPr>
      </w:pPr>
      <w:r>
        <w:rPr>
          <w:lang w:val="el" w:eastAsia="el"/>
        </w:rPr>
        <w:t>20) «Διανομέας»: κάθε φυσικό ή νομικό πρόσωπο στην αλυσίδα εφοδιασμού, άλλο από τον κατασκευαστή ή τον εισαγωγέα, το οποίο καθιστά ένα προϊόν διαθέσιμο στην αγορά.</w:t>
      </w:r>
    </w:p>
    <w:p>
      <w:pPr>
        <w:spacing w:before="240" w:after="240"/>
        <w:rPr>
          <w:lang w:val="el" w:eastAsia="el"/>
        </w:rPr>
      </w:pPr>
      <w:r>
        <w:rPr>
          <w:lang w:val="el" w:eastAsia="el"/>
        </w:rPr>
        <w:t>21) «Οικονομικός φορέας»: ο κατασκευαστής, ο εξουσιοδοτημένος αντιπρόσωπος, ο εισαγωγέας, ο διανομέας ή ο πάροχος υπηρεσιών.</w:t>
      </w:r>
    </w:p>
    <w:p>
      <w:pPr>
        <w:spacing w:before="240" w:after="240"/>
        <w:rPr>
          <w:lang w:val="el" w:eastAsia="el"/>
        </w:rPr>
      </w:pPr>
      <w:r>
        <w:rPr>
          <w:lang w:val="el" w:eastAsia="el"/>
        </w:rPr>
        <w:t>22) «Καταναλωτής»: κάθε φυσικό πρόσωπο που αγοράζει το σχετικό προϊόν ή είναι αποδέκτης της σχετικής υπηρεσίας για σκοπούς άσχετους με τις εμπορικές, επιχειρηματικές, βιοτεχνικές δραστηριότητές του ή το επάγγελμά του.</w:t>
      </w:r>
    </w:p>
    <w:p>
      <w:pPr>
        <w:spacing w:before="240" w:after="240"/>
        <w:rPr>
          <w:lang w:val="el" w:eastAsia="el"/>
        </w:rPr>
      </w:pPr>
      <w:r>
        <w:rPr>
          <w:lang w:val="el" w:eastAsia="el"/>
        </w:rPr>
        <w:t>23) «Πολύ μικρή επιχείρηση»: η επιχείρηση η οποία απασχολεί λιγότερους από δέκα (10) εργαζομένους και της οποίας ο ετήσιος κύκλος εργασιών δεν υπερβαίνει τα δύο εκατομμύρια (2.000.000) ευρώ ή με συνολικό ετήσιο ισολογισμό που δεν υπερβαίνει τα δύο εκατομμύρια (2.000.000) ευρώ.</w:t>
      </w:r>
    </w:p>
    <w:p>
      <w:pPr>
        <w:spacing w:before="240" w:after="240"/>
        <w:rPr>
          <w:lang w:val="el" w:eastAsia="el"/>
        </w:rPr>
      </w:pPr>
      <w:r>
        <w:rPr>
          <w:lang w:val="el" w:eastAsia="el"/>
        </w:rPr>
        <w:t>24) «Μικρές και μεσαίες επιχειρήσεις (ΜΜΕ)»: οι επιχειρήσεις που απασχολούν λιγότερους από διακόσιους πενήντα (250) εργαζομένους και των οποίων ο ετήσιος κύκλος εργασιών δεν υπερβαίνει τα πενήντα εκατομμύρια (50.000.000) ευρώ ή το σύνολο του ετήσιου ισολογισμού δεν υπερβαίνει τα σαράντα τρία εκατομμύρια (43.000.000) ευρώ, εξαιρουμένων των πολύ μικρών επιχειρήσεων.</w:t>
      </w:r>
    </w:p>
    <w:p>
      <w:pPr>
        <w:spacing w:before="240" w:after="240"/>
        <w:rPr>
          <w:lang w:val="el" w:eastAsia="el"/>
        </w:rPr>
      </w:pPr>
      <w:r>
        <w:rPr>
          <w:lang w:val="el" w:eastAsia="el"/>
        </w:rPr>
        <w:t>25) «Εναρμονισμένο πρότυπο»: εναρμονισμένο πρότυπο της περ. γ’ της παρ. 1 του άρθρου 2 του Κανονισμού (ΕΕ)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 ΕΚ, 2004/22/ΕΚ, 2007/23/ΕΚ, 2009/23/ΕΚ και 2009/105/ ΕΚ και την κατάργηση της απόφασης 87/95/ΕΟΚ του Συμβουλίου και της απόφασης αριθμ. 1673/2006/ΕΚ του Ευρωπαϊκού Κοινοβουλίου και του Συμβουλίου» (L 316).</w:t>
      </w:r>
    </w:p>
    <w:p>
      <w:pPr>
        <w:spacing w:before="240" w:after="240"/>
        <w:rPr>
          <w:lang w:val="el" w:eastAsia="el"/>
        </w:rPr>
      </w:pPr>
      <w:r>
        <w:rPr>
          <w:lang w:val="el" w:eastAsia="el"/>
        </w:rPr>
        <w:t>26) «Κοινή τεχνική προδιαγραφή»: τεχνική προδιαγραφή της παρ. 4 του άρθρου 2 του Κανονισμού (ΕΕ) 1025/2012, το οποίο παρέχει ένα μέσο συμμόρφωσης με τις απαιτήσεις προσβασιμότητας που ισχύουν για ένα προϊόν ή μια υπηρεσία.</w:t>
      </w:r>
    </w:p>
    <w:p>
      <w:pPr>
        <w:spacing w:before="240" w:after="240"/>
        <w:rPr>
          <w:lang w:val="el" w:eastAsia="el"/>
        </w:rPr>
      </w:pPr>
      <w:r>
        <w:rPr>
          <w:lang w:val="el" w:eastAsia="el"/>
        </w:rPr>
        <w:t>27) «Απόσυρση»: κάθε μέτρο που αποσκοπεί να αποτρέψει τη διαθεσιμότητα στην αγορά προϊόντος από την αλυσίδα εφοδιασμού.</w:t>
      </w:r>
    </w:p>
    <w:p>
      <w:pPr>
        <w:spacing w:before="240" w:after="240"/>
        <w:rPr>
          <w:lang w:val="el" w:eastAsia="el"/>
        </w:rPr>
      </w:pPr>
      <w:r>
        <w:rPr>
          <w:lang w:val="el" w:eastAsia="el"/>
        </w:rPr>
        <w:t>28) «Τραπεζικές υπηρεσίες για καταναλωτές»: η παροχή στους καταναλωτές των ακόλουθων τραπεζικών και χρηματοπιστωτικών υπηρεσιών:</w:t>
      </w:r>
    </w:p>
    <w:p>
      <w:pPr>
        <w:pStyle w:val="StructureList1"/>
        <w:spacing w:before="120" w:after="0"/>
        <w:rPr>
          <w:lang w:val="el" w:eastAsia="el"/>
        </w:rPr>
      </w:pPr>
      <w:r>
        <w:rPr>
          <w:lang w:val="el" w:eastAsia="el"/>
        </w:rPr>
        <w:t>α)</w:t>
      </w:r>
      <w:r>
        <w:rPr>
          <w:lang w:val="en" w:eastAsia="en"/>
        </w:rPr>
        <w:tab/>
      </w:r>
      <w:r>
        <w:rPr>
          <w:lang w:val="el" w:eastAsia="el"/>
        </w:rPr>
        <w:t>συμβάσεις πίστωσης που ρυθμίζονται στην υπό στοιχεία Ζ1-699/23.6.2010 κοινή απόφαση των υπουργών Οικονομικών, Οικονομίας, Ανταγωνιστικότητας και Ναυτιλίας και Δικαιοσύνης, Διαφάνειας και Ανθρωπίνων Δικαιωμάτων (Β’ 917) ή στον ν. 4438/2016 (Α’ 220),</w:t>
      </w:r>
    </w:p>
    <w:p>
      <w:pPr>
        <w:pStyle w:val="StructureList1"/>
        <w:spacing w:before="120" w:after="0"/>
        <w:rPr>
          <w:lang w:val="el" w:eastAsia="el"/>
        </w:rPr>
      </w:pPr>
      <w:r>
        <w:rPr>
          <w:lang w:val="el" w:eastAsia="el"/>
        </w:rPr>
        <w:t>β)</w:t>
      </w:r>
      <w:r>
        <w:rPr>
          <w:lang w:val="en" w:eastAsia="en"/>
        </w:rPr>
        <w:tab/>
      </w:r>
      <w:r>
        <w:rPr>
          <w:lang w:val="el" w:eastAsia="el"/>
        </w:rPr>
        <w:t>υπηρεσίες των παρ. 1, 2, 4 και 5 του τμήματος Α’ και των παρ. 1, 2, 4 και 5 του τμήματος Β’ του Παραρτήματος I του ν. 4514/2018 (Α’ 14),</w:t>
      </w:r>
    </w:p>
    <w:p>
      <w:pPr>
        <w:pStyle w:val="StructureList1"/>
        <w:spacing w:before="120" w:after="0"/>
        <w:rPr>
          <w:lang w:val="el" w:eastAsia="el"/>
        </w:rPr>
      </w:pPr>
      <w:r>
        <w:rPr>
          <w:lang w:val="el" w:eastAsia="el"/>
        </w:rPr>
        <w:t>γ)</w:t>
      </w:r>
      <w:r>
        <w:rPr>
          <w:lang w:val="en" w:eastAsia="en"/>
        </w:rPr>
        <w:tab/>
      </w:r>
      <w:r>
        <w:rPr>
          <w:lang w:val="el" w:eastAsia="el"/>
        </w:rPr>
        <w:t>υπηρεσίες πληρωμών της παρ. 3 του άρθρου 4 του ν. 4537/2018 (Α’ 84),</w:t>
      </w:r>
    </w:p>
    <w:p>
      <w:pPr>
        <w:pStyle w:val="StructureList1"/>
        <w:spacing w:before="120" w:after="0"/>
        <w:rPr>
          <w:lang w:val="el" w:eastAsia="el"/>
        </w:rPr>
      </w:pPr>
      <w:r>
        <w:rPr>
          <w:lang w:val="el" w:eastAsia="el"/>
        </w:rPr>
        <w:t>δ)</w:t>
      </w:r>
      <w:r>
        <w:rPr>
          <w:lang w:val="en" w:eastAsia="en"/>
        </w:rPr>
        <w:tab/>
      </w:r>
      <w:r>
        <w:rPr>
          <w:lang w:val="el" w:eastAsia="el"/>
        </w:rPr>
        <w:t>υπηρεσίες που συνδέονται με λογαριασμούς πληρωμών της παρ. 6 του άρθρου 2 του ν. 4465/2017 (Α’ 47), ε) ηλεκτρονικό χρήμα της παρ. 1 του άρθρου 10 του ν. 4021/2011 (Α’ 218).</w:t>
      </w:r>
    </w:p>
    <w:p>
      <w:pPr>
        <w:spacing w:before="240" w:after="240"/>
        <w:rPr>
          <w:lang w:val="el" w:eastAsia="el"/>
        </w:rPr>
      </w:pPr>
      <w:r>
        <w:rPr>
          <w:lang w:val="el" w:eastAsia="el"/>
        </w:rPr>
        <w:t>29) «Τερματικό πληρωμών»: η συσκευή της οποίας κύριος σκοπός είναι να επιτρέπει τη διενέργεια πληρωμών με τη χρήση μέσων πληρωμών της παρ. 4 του άρθρου 4 του ν. 4537/2018 σε υλικό σημείο πώλησης, αλλά όχι σε εικονικό περιβάλλον.</w:t>
      </w:r>
    </w:p>
    <w:p>
      <w:pPr>
        <w:spacing w:before="240" w:after="240"/>
        <w:rPr>
          <w:lang w:val="el" w:eastAsia="el"/>
        </w:rPr>
      </w:pPr>
      <w:r>
        <w:rPr>
          <w:lang w:val="el" w:eastAsia="el"/>
        </w:rPr>
        <w:t>30) «Υπηρεσίες ηλεκτρονικού εμπορίου»: οι υπηρεσίες που παρέχονται εξ αποστάσεως μέσω δικτυακών τόπων και υπηρεσιών που βασίζονται σε φορητές συσκευές, με ηλεκτρονικά μέσα και κατόπιν ατομικού αιτήματος καταναλωτή, με σκοπό τη σύναψη συμβάσεως καταναλωτών.</w:t>
      </w:r>
    </w:p>
    <w:p>
      <w:pPr>
        <w:spacing w:before="240" w:after="240"/>
        <w:rPr>
          <w:lang w:val="el" w:eastAsia="el"/>
        </w:rPr>
      </w:pPr>
      <w:r>
        <w:rPr>
          <w:lang w:val="el" w:eastAsia="el"/>
        </w:rPr>
        <w:t>31) «Υπηρεσίες αεροπορικών μεταφορών επιβατών»: οι εμπορικές υπηρεσίες αεροπορικών μεταφορών επιβατών της περ. ιβ) του άρθρου 2 του Κανονισμού (ΕΚ) 1107/2006 του Ευρωπαϊκού Κοινοβουλίου και του Συμβουλίου, της 5ης Ιουλίου 2006 «σχετικά με τα δικαιώματα των ατόμων με αναπηρία και των ατόμων με μειωμένη κινητικότητα όταν ταξιδεύουν αεροπορικώς» (L 204), σε περίπτωση αναχώρησης ή διέλευσης ή άφιξης σε αερολιμένα ευρισκόμενο στην Επικράτεια κράτους μέλους, στις οποίες συμπεριλαμβάνονται πτήσεις που αναχωρούν από αερολιμένα ευρισκόμενο σε τρίτη χώρα προς αερολιμένα ευρισκόμενο στην Επικράτεια κράτους μέλους, όταν οι υπηρεσίες παρέχονται από ενωσιακούς αερομεταφορείς.</w:t>
      </w:r>
    </w:p>
    <w:p>
      <w:pPr>
        <w:spacing w:before="240" w:after="240"/>
        <w:rPr>
          <w:lang w:val="el" w:eastAsia="el"/>
        </w:rPr>
      </w:pPr>
      <w:r>
        <w:rPr>
          <w:lang w:val="el" w:eastAsia="el"/>
        </w:rPr>
        <w:t>32) «Υπηρεσίες μεταφορών επιβατών με λεωφορεία»: οι υπηρεσίες που καλύπτονται από τις παρ. 1 και 2 του άρθρου 2 του Κανονισμού (ΕΕ) 181/2011 του Ευρωπαϊκού Κοινοβουλίου και του Συμβουλίου της 16ης Φεβρουαρίου 2011 «για τα δικαιώματα των επιβατών λεωφορείων και πούλμαν και για την τροποποίηση του κανονισμού (ΕΚ) αριθμ. 2006/2004» (L 55).</w:t>
      </w:r>
    </w:p>
    <w:p>
      <w:pPr>
        <w:spacing w:before="240" w:after="240"/>
        <w:rPr>
          <w:lang w:val="el" w:eastAsia="el"/>
        </w:rPr>
      </w:pPr>
      <w:r>
        <w:rPr>
          <w:lang w:val="el" w:eastAsia="el"/>
        </w:rPr>
        <w:t>33) «Υπηρεσίες σιδηροδρομικών μεταφορών επιβατών»: όλες οι υπηρεσίες σιδηροδρομικών μεταφορών επιβατών της παρ. 1 του άρθρου 2 του Κανονισμού (ΕΚ) 1371/2007 του Ευρωπαϊκού Κοινοβουλίου και του Συμβουλίου της 23ης Οκτωβρίου 2007 «σχετικά με τα δικαιώματα και τις υποχρεώσεις των επιβατών σιδηροδρομικών γραμμών» (L 315), εξαιρουμένων των υπηρεσιών που αναφέρονται στην παρ. 2 του άρθρου 2 του ίδιου Κανονισμού.</w:t>
      </w:r>
    </w:p>
    <w:p>
      <w:pPr>
        <w:spacing w:before="240" w:after="240"/>
        <w:rPr>
          <w:lang w:val="el" w:eastAsia="el"/>
        </w:rPr>
      </w:pPr>
      <w:r>
        <w:rPr>
          <w:lang w:val="el" w:eastAsia="el"/>
        </w:rPr>
        <w:t>34) «Υπηρεσίες πλωτών μεταφορών επιβατών»: οι επιβατικές υπηρεσίες που καλύπτονται από την παρ. 1 του άρθρου 2 του Κανονισμού (ΕΕ) 1177/2010 του Ευρωπαϊκού Κοινοβουλίου και του Συμβουλίου της 24ης Νοεμβρίου 2010 «για τα δικαιώματα των επιβατών στις θαλάσσιες και εσωτερικές πλωτές μεταφορές και για την τροποποίηση του κανονισμού (ΕΚ) αριθμ. 2006/2004» (L 334), με εξαίρεση τις υπηρεσίες που ρυθμίζονται στην παρ. 2 του άρθρου 2 του εν λόγω Κανονισμού.</w:t>
      </w:r>
    </w:p>
    <w:p>
      <w:pPr>
        <w:spacing w:before="240" w:after="240"/>
        <w:rPr>
          <w:lang w:val="el" w:eastAsia="el"/>
        </w:rPr>
      </w:pPr>
      <w:r>
        <w:rPr>
          <w:lang w:val="el" w:eastAsia="el"/>
        </w:rPr>
        <w:t>35) «Υπηρεσίες αστικών και προαστιακών μεταφορών»: οι αστικές και προαστιακές υπηρεσίες της παρ. 6 του άρθρου 3 του ν. 4408/2016 (Α’ 135), οι οποίες, για τους σκοπούς του παρόντος, περιλαμβάνουν μόνο: τρένο, λεωφορείο και πούλμαν, μετρό, τραμ και τρόλεϊ.</w:t>
      </w:r>
    </w:p>
    <w:p>
      <w:pPr>
        <w:spacing w:before="240" w:after="240"/>
        <w:rPr>
          <w:lang w:val="el" w:eastAsia="el"/>
        </w:rPr>
      </w:pPr>
      <w:r>
        <w:rPr>
          <w:lang w:val="el" w:eastAsia="el"/>
        </w:rPr>
        <w:t>36) «Υπηρεσίες περιφερειακών μεταφορών»: οι περιφερειακές υπηρεσίες της παρ. 7 του άρθρου 3 του ν. 4408/2016, οι οποίες, για τους σκοπούς του παρόντος, περιλαμβάνουν μόνο: τρένο, λεωφορείο και πούλμαν, μετρό, τραμ και τρόλεϊ.</w:t>
      </w:r>
    </w:p>
    <w:p>
      <w:pPr>
        <w:spacing w:before="240" w:after="240"/>
        <w:rPr>
          <w:lang w:val="el" w:eastAsia="el"/>
        </w:rPr>
      </w:pPr>
      <w:r>
        <w:rPr>
          <w:lang w:val="el" w:eastAsia="el"/>
        </w:rPr>
        <w:t>37) «Υποστηρικτική τεχνολογία»: κάθε στοιχείο, τμήμα εξοπλισμού, υπηρεσία ή προϊόν συστήματος που περιλαμβάνει λογισμικό το οποίο χρησιμοποιείται για να αυξηθούν, να διατηρηθούν, να υποκατασταθούν ή να βελτιωθούν οι λειτουργικές δυνατότητες των ατόμων με αναπηρία ή για την ανακούφιση και αντιστάθμιση της αναπηρίας και των περιορισμών δραστηριότητας ή συμμετοχής.</w:t>
      </w:r>
    </w:p>
    <w:p>
      <w:pPr>
        <w:spacing w:before="240" w:after="240"/>
        <w:rPr>
          <w:lang w:val="el" w:eastAsia="el"/>
        </w:rPr>
      </w:pPr>
      <w:r>
        <w:rPr>
          <w:lang w:val="el" w:eastAsia="el"/>
        </w:rPr>
        <w:t>38) «Λειτουργικό σύστημα»: το λογισμικό, το οποίο, μεταξύ άλλων, υποστηρίζει τη διασύνδεση του περιφερειακού υλικού εξοπλισμού, προγραμματίζει καθήκοντα, κατανέμει αποθήκευση, και παρουσιάζει στον χρήστη μια προεπιλεγμένη διεπαφή, όταν δεν βρίσκεται σε λειτουργία κανένα πρόγραμμα εφαρμογής, συμπεριλαμβανομένων των διεπαφών γραφικών των χρηστών, είτε το εν λόγω λογισμικό αποτελεί αναπόσπαστο μέρος υλικού συστήματος πληροφορικής γενικής χρήσης από τους καταναλωτές, είτε αποτελεί άλλου είδους αυτοτελές λογισμικό που προορίζεται να λειτουργεί σε υλικό σύστημα πληροφορικής γενικής χρήσης από τους καταναλωτές. Εξαιρούνται οι φορτωτές λειτουργικού συστήματος, τα βασικά συστήματα εισροής/εκροής ή το λοιπό υλικό λογισμικού που απαιτείται κατά την εκκίνηση ή την εγκατάσταση του λειτουργικού συστήματος.</w:t>
      </w:r>
    </w:p>
    <w:p>
      <w:pPr>
        <w:spacing w:before="240" w:after="240"/>
        <w:rPr>
          <w:lang w:val="el" w:eastAsia="el"/>
        </w:rPr>
      </w:pPr>
      <w:r>
        <w:rPr>
          <w:lang w:val="el" w:eastAsia="el"/>
        </w:rPr>
        <w:t>39) «Υλικό σύστημα πληροφορικής για γενική χρήση από τους καταναλωτές»: ο συνδυασμός υλικού εξοπλισμού που συνιστά έναν πλήρη υπολογιστή και χαρακτηρίζεται από την πολυλειτουργική του φύση, την ικανότητά του να εκτελεί, με το κατάλληλο λογισμικό, τις περισσότερες κοινές υπολογιστικές εργασίες που ζητούν οι καταναλωτές και προορίζεται για χρήση από αυτούς, στον οποίο συμπεριλαμβάνονται οι προσωπικοί υπολογιστές, ιδίως οι επιτραπέζιοι υπολογιστές, οι φορητοί υπολογιστές, τα έξυπνα τηλέφωνα και οι ταμπλέτες.</w:t>
      </w:r>
    </w:p>
    <w:p>
      <w:pPr>
        <w:spacing w:before="240" w:after="240"/>
        <w:rPr>
          <w:lang w:val="el" w:eastAsia="el"/>
        </w:rPr>
      </w:pPr>
      <w:r>
        <w:rPr>
          <w:lang w:val="el" w:eastAsia="el"/>
        </w:rPr>
        <w:t>40) «Διαδραστική υπολογιστική ικανότητα»: η λειτουργία που υποστηρίζει την αλληλεπίδραση ανθρώπου - συσκευής και επιτρέπει την επεξεργασία και τη μετάδοση δεδομένων, φωνής ή βίντεο ή οποιονδήποτε συνδυασμό των ανωτέρω.</w:t>
      </w:r>
    </w:p>
    <w:p>
      <w:pPr>
        <w:spacing w:before="240" w:after="240"/>
        <w:rPr>
          <w:lang w:val="el" w:eastAsia="el"/>
        </w:rPr>
      </w:pPr>
      <w:r>
        <w:rPr>
          <w:lang w:val="el" w:eastAsia="el"/>
        </w:rPr>
        <w:t>41) «Ηλεκτρονικό βιβλίο και ειδικό λογισμικό»: η υπηρεσία, που συνίσταται στην παροχή ψηφιακών αρχείων που φέρουν ηλεκτρονική εκδοχή αρχείου βιβλίου, η οποία προσφέρει δυνατότητες πρόσβασης, πλοήγησης, ανάγνωσης και χρήσης και το λογισμικό στο οποίο συμπεριλαμβάνονται οι υπηρεσίες και οι εφαρμογές για φορητές συσκευές, που προορίζονται ειδικά για την πρόσβαση, πλοήγηση, ανάγνωση και χρήση αυτών των ψηφιακών αρχείων και δεν περιλαμβάνει λογισμικό που καλύπτεται από τον ορισμό της περ. 42.</w:t>
      </w:r>
    </w:p>
    <w:p>
      <w:pPr>
        <w:spacing w:before="240" w:after="240"/>
        <w:rPr>
          <w:lang w:val="el" w:eastAsia="el"/>
        </w:rPr>
      </w:pPr>
      <w:r>
        <w:rPr>
          <w:lang w:val="el" w:eastAsia="el"/>
        </w:rPr>
        <w:t>42) «Συσκευή ανάγνωσης ηλεκτρονικών βιβλίων»: ο ειδικός εξοπλισμός, στον οποίο συμπεριλαμβάνονται τόσο ο υλικός εξοπλισμός, όσο και το λογισμικό που χρησιμοποιείται για πρόσβαση, πλοήγηση, ανάγνωση και χρήση αρχείων ηλεκτρονικών βιβλίων.</w:t>
      </w:r>
    </w:p>
    <w:p>
      <w:pPr>
        <w:spacing w:before="240" w:after="240"/>
        <w:rPr>
          <w:lang w:val="el" w:eastAsia="el"/>
        </w:rPr>
      </w:pPr>
      <w:r>
        <w:rPr>
          <w:lang w:val="el" w:eastAsia="el"/>
        </w:rPr>
        <w:t>43) «Ηλεκτρονικά εισιτήρια»: κάθε σύστημα στο οποίο αποθηκεύεται ηλεκτρονικά σε υλική κάρτα μετακινήσεων ή σε άλλη συσκευή, αντί να εκτυπώνεται σε έντυπο εισιτήριο, το δικαίωμα ταξιδίου, υπό μορφή μεμονωμένων ή πολλαπλών εισιτηρίων ταξιδίου, ταξιδιωτικών συνδρομών, ή ταξιδιωτικής πίστωσης.</w:t>
      </w:r>
    </w:p>
    <w:p>
      <w:pPr>
        <w:spacing w:before="240" w:after="240"/>
        <w:rPr>
          <w:lang w:val="el" w:eastAsia="el"/>
        </w:rPr>
      </w:pPr>
      <w:r>
        <w:rPr>
          <w:lang w:val="el" w:eastAsia="el"/>
        </w:rPr>
        <w:t>44) «Υπηρεσίες ηλεκτρονικής έκδοσης εισιτηρίων»: κάθε σύστημα στο οποίο αγοράζονται, μεταξύ άλλων σε επιγραμμικό (on line) περιβάλλον, εισιτήρια επιβατικών μεταφορών με τη χρήση συσκευής με διαδραστική υπολογιστική ικανότητα, και παραδίδονται στον αγοραστή σε ηλεκτρονική μορφή, προκειμένου να μπορούν να τυπωθούν σε χαρτί ή να εμφανιστούν με τη χρήση φορητής συσκευής με διαδραστική υπολογιστική ικανότητα στη διάρκεια του ταξιδιού.</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ΑΠΑΙΤΗΣΕΙΣ ΠΡΟΣΒΑΣΙΜΟΤΗΤΑΣ ΚΑΙ ΕΛΕΥΘΕΡΗ ΚΥΚΛΟΦΟΡΙΑ</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Απαιτήσεις προσβασιμότητας</w:t>
      </w:r>
    </w:p>
    <w:p>
      <w:pPr>
        <w:spacing w:before="240" w:after="240"/>
        <w:rPr>
          <w:lang w:val="el" w:eastAsia="el"/>
        </w:rPr>
      </w:pPr>
      <w:r>
        <w:rPr>
          <w:b/>
          <w:bCs/>
          <w:lang w:val="el" w:eastAsia="el"/>
        </w:rPr>
        <w:t>(άρθρο 4 Οδηγίας (ΕΕ) 2019/882)</w:t>
      </w:r>
    </w:p>
    <w:p>
      <w:pPr>
        <w:pStyle w:val="MainText"/>
        <w:spacing w:before="120" w:after="0"/>
        <w:rPr>
          <w:lang w:val="el" w:eastAsia="el"/>
        </w:rPr>
      </w:pPr>
      <w:r>
        <w:rPr>
          <w:b/>
          <w:bCs/>
          <w:lang w:val="el" w:eastAsia="el"/>
        </w:rPr>
        <w:t>1.</w:t>
      </w:r>
      <w:r>
        <w:rPr>
          <w:lang w:val="el" w:eastAsia="el"/>
        </w:rPr>
        <w:t xml:space="preserve"> Όλα τα προϊόντα τηρούν τις απαιτήσεις προσβα- σιμότητας των Τμημάτων I και ΙΙ του Παραρτήματος I, εξαιρουμένων των τερματικών αυτοεξυπηρέτησης, ως προς το Τμήμα ΙΙ του ως άνω Παρατήματος.</w:t>
      </w:r>
    </w:p>
    <w:p>
      <w:pPr>
        <w:pStyle w:val="MainText"/>
        <w:spacing w:before="120" w:after="0"/>
        <w:rPr>
          <w:lang w:val="el" w:eastAsia="el"/>
        </w:rPr>
      </w:pPr>
      <w:r>
        <w:rPr>
          <w:b/>
          <w:bCs/>
          <w:lang w:val="el" w:eastAsia="el"/>
        </w:rPr>
        <w:t>2.</w:t>
      </w:r>
      <w:r>
        <w:rPr>
          <w:lang w:val="el" w:eastAsia="el"/>
        </w:rPr>
        <w:t xml:space="preserve"> Με την επιφύλαξη της παρ. 4, όλες οι υπηρεσίες τηρούν τις απαιτήσεις προσβασιμότητας των Τμημάτων ΙΙΙ και IV του Παραρτήματος I, εξαιρουμένων των αστικών και προαστιακών υπηρεσιών μεταφορών και περιφερειακών υπηρεσιών μεταφορών, ως προς το Τμήμα III του ως άνω Παραρτήματος.</w:t>
      </w:r>
    </w:p>
    <w:p>
      <w:pPr>
        <w:pStyle w:val="MainText"/>
        <w:spacing w:before="120" w:after="0"/>
        <w:rPr>
          <w:lang w:val="el" w:eastAsia="el"/>
        </w:rPr>
      </w:pPr>
      <w:r>
        <w:rPr>
          <w:b/>
          <w:bCs/>
          <w:lang w:val="el" w:eastAsia="el"/>
        </w:rPr>
        <w:t>3.</w:t>
      </w:r>
      <w:r>
        <w:rPr>
          <w:lang w:val="el" w:eastAsia="el"/>
        </w:rPr>
        <w:t xml:space="preserve"> Το δομημένο περιβάλλον που χρησιμοποιούν οι πελάτες των υπηρεσιών που καλύπτονται από τον παρόντα, συμμορφώνεται με τις απαιτήσεις προσβασιμότητας, σύμφωνα με την κείμενη πολεοδομική νομοθεσία και τη νομοθεσία που διέπει τις περιπτώσεις προσβασιμότητας εντός χερσαίας ζώνης λιμένα.</w:t>
      </w:r>
    </w:p>
    <w:p>
      <w:pPr>
        <w:pStyle w:val="MainText"/>
        <w:spacing w:before="120" w:after="0"/>
        <w:rPr>
          <w:lang w:val="el" w:eastAsia="el"/>
        </w:rPr>
      </w:pPr>
      <w:r>
        <w:rPr>
          <w:b/>
          <w:bCs/>
          <w:lang w:val="el" w:eastAsia="el"/>
        </w:rPr>
        <w:t>4.</w:t>
      </w:r>
      <w:r>
        <w:rPr>
          <w:lang w:val="el" w:eastAsia="el"/>
        </w:rPr>
        <w:t xml:space="preserve"> Οι πολύ μικρές επιχειρήσεις που παρέχουν υπηρεσίες απαλλάσσονται από την τήρηση των απαιτήσεων προσβασιμότητας της παρ. 2, καθώς και από οποιαδήποτε υποχρέωση σχετικά με την τήρηση των εν λόγω απαιτήσεων.</w:t>
      </w:r>
    </w:p>
    <w:p>
      <w:pPr>
        <w:pStyle w:val="MainText"/>
        <w:spacing w:before="120" w:after="0"/>
        <w:rPr>
          <w:lang w:val="el" w:eastAsia="el"/>
        </w:rPr>
      </w:pPr>
      <w:r>
        <w:rPr>
          <w:b/>
          <w:bCs/>
          <w:lang w:val="el" w:eastAsia="el"/>
        </w:rPr>
        <w:t>5.</w:t>
      </w:r>
      <w:r>
        <w:rPr>
          <w:lang w:val="el" w:eastAsia="el"/>
        </w:rPr>
        <w:t xml:space="preserve"> Οι αρμόδιες υπηρεσίες της Γενικής Γραμματείας Πολιτικής Προστασίας του Υπουργείου Κλιματικής Κρίσης και Πολιτικής Προστασίας εξασφαλίζουν ότι η απάντηση στις επικοινωνίες έκτακτης ανάγκης προς τον ενιαίο ευρωπαϊκό αριθμό έκτακτης ανάγκης «112» από το κέντρο λήψης κλήσεων έκτακτης ανάγκης «PSAP» τηρεί τις ειδικές απαιτήσεις προσβασιμότητας του Τμήματος V του Παραρτήματος I.</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Ισχύουσα νομοθεσία της Ένωσης στον τομέα των επιβατικών μεταφορών (άρθρο 5 Οδηγίας (ΕΕ) 2019/882)</w:t>
      </w:r>
    </w:p>
    <w:p>
      <w:pPr>
        <w:spacing w:before="240" w:after="240"/>
        <w:rPr>
          <w:lang w:val="el" w:eastAsia="el"/>
        </w:rPr>
      </w:pPr>
      <w:r>
        <w:rPr>
          <w:lang w:val="el" w:eastAsia="el"/>
        </w:rPr>
        <w:t>Υπηρεσίες που τηρούν τις απαιτήσεις σχετικά με την παροχή προσβάσιμων πληροφοριών και πληροφοριών σχετικά με την προσβασιμότητα που καθορίζονται στους Κανονισμούς α) (ΕΚ) 261/2004 του Ευρωπαϊκού Κοινοβουλίου και του Συμβουλίου της 11ης Φεβρουαρίου του 2004 «για τη θέσπιση κοινών κανόνων αποζημίωσης των επιβατών αεροπορικών μεταφορών και παροχής βοήθειας σε αυτούς σε περίπτωση άρνησης επιβίβασης και ματαίωσης ή μεγάλης καθυστέρησης της πτήσης και για την κατάργηση του κανονισμού (ΕΟΚ) αριθμ. 295/91» (L 46), β) 1107/2006 του Ευρωπαϊκού Κοινοβουλίου και του Συμβουλίου της 5ης Ιουλίου 2006 «σχετικά με τα δικαιώματα των ατόμων με αναπηρία και των ατόμων με μειωμένη κινητικότητα όταν ταξιδεύουν αεροπορικώς» (L 204), γ) 1371/2007 του Ευρωπαϊκού Κοινοβουλίου και του Συμβουλίου της 23ης Οκτωβρίου 2007 «σχετικά με τα δικαιώματα και τις υποχρεώσεις των επιβατών σιδηροδρομικών γραμμών» (L 315), δ) 1177/2010 του Ευρωπαϊκού Κοινοβουλίου και του Συμβουλίου της 24ης Νοεμβρίου 2010 «για τα δικαιώματα των επιβατών στις θαλάσσιες και εσωτερικές πλωτές μεταφορές και για την τροποποίηση του κανονισμού (ΕΚ) αριθμ. 2006/2004» (L 334), και ε) 181/2011 του Ευρωπαϊκού Κοινοβουλίου και του Συμβουλίου της 16ης Φεβρουαρίου 2021 «για τα δικαιώματα των επιβατών λεωφορείων και πούλμαν και για την τροποποίηση του κανονισμού (ΕΚ) αριθμ. 2006/2004» (L 55) και στις σχετικές κανονιστικές πράξεις που εκδόθηκαν βάσει του π.δ. 104/2010 (Α’ 181), θεωρείται ότι συμμορφώνονται με τις αντίστοιχες απαιτήσεις του παρόντος. Σε περιπτώσεις στις οποίες ο παρών προβλέπει πρόσθετες απαιτήσεις πέρα από εκείνες που προβλέπονται στους εν λόγω Κανονισμούς και στις εν λόγω πράξεις, οι πρόσθετες απαιτήσεις εφαρμόζονται πλήρως.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ΥΠΟΧΡΕΩΣΕΙΣ ΤΩΝ ΟΙΚΟΝΟΜΙΚΩΝ ΦΟΡΕΩΝ ΠΟΥ ΔΙΑΧΕΙΡΙΖΟΝΤΑΙ ΠΡΟΪΟΝΤΑ ΚΑΙ ΥΠΗΡΕΣΙΕΣ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Υποχρεώσεις των κατασκευαστών</w:t>
      </w:r>
    </w:p>
    <w:p>
      <w:pPr>
        <w:spacing w:before="240" w:after="240"/>
        <w:rPr>
          <w:lang w:val="el" w:eastAsia="el"/>
        </w:rPr>
      </w:pPr>
      <w:r>
        <w:rPr>
          <w:b/>
          <w:bCs/>
          <w:lang w:val="el" w:eastAsia="el"/>
        </w:rPr>
        <w:t>(άρθρο 7 Οδηγίας (ΕΕ) 2019/882)</w:t>
      </w:r>
    </w:p>
    <w:p>
      <w:pPr>
        <w:pStyle w:val="MainText"/>
        <w:spacing w:before="120" w:after="0"/>
        <w:rPr>
          <w:lang w:val="el" w:eastAsia="el"/>
        </w:rPr>
      </w:pPr>
      <w:r>
        <w:rPr>
          <w:b/>
          <w:bCs/>
          <w:lang w:val="el" w:eastAsia="el"/>
        </w:rPr>
        <w:t>1.</w:t>
      </w:r>
      <w:r>
        <w:rPr>
          <w:lang w:val="el" w:eastAsia="el"/>
        </w:rPr>
        <w:t xml:space="preserve"> Οι κατασκευαστές εξασφαλίζουν ότι τα προϊόντα που διαθέτουν στην αγορά είναι σχεδιασμένα και κατασκευασμένα σύμφωνα με τις εφαρμοστέες απαιτήσεις προσβασιμότητας του παρόντος.</w:t>
      </w:r>
    </w:p>
    <w:p>
      <w:pPr>
        <w:pStyle w:val="MainText"/>
        <w:spacing w:before="120" w:after="0"/>
        <w:rPr>
          <w:lang w:val="el" w:eastAsia="el"/>
        </w:rPr>
      </w:pPr>
      <w:r>
        <w:rPr>
          <w:b/>
          <w:bCs/>
          <w:lang w:val="el" w:eastAsia="el"/>
        </w:rPr>
        <w:t>2.</w:t>
      </w:r>
      <w:r>
        <w:rPr>
          <w:lang w:val="el" w:eastAsia="el"/>
        </w:rPr>
        <w:t xml:space="preserve"> Οι κατασκευαστές καταρτίζουν τον τεχνικό φάκελο σύμφωνα με το Παράρτημα IV και διενεργούν τη διαδικασία αξιολόγησης της συμμόρφωσης που ορίζεται στο εν λόγω Παράρτημα ή αναθέτουν τη διενέργειά της σε τρίτο για λογαριασμό τους.</w:t>
      </w:r>
    </w:p>
    <w:p>
      <w:pPr>
        <w:spacing w:before="240" w:after="240"/>
        <w:rPr>
          <w:lang w:val="el" w:eastAsia="el"/>
        </w:rPr>
      </w:pPr>
      <w:r>
        <w:rPr>
          <w:lang w:val="el" w:eastAsia="el"/>
        </w:rPr>
        <w:t>Όταν η συμμόρφωση προϊόντος με τις εφαρμοστέες απαιτήσεις προσβασιμότητας αποδεικνύεται με αυτήν τη διαδικασία, οι κατασκευαστές καταρτίζουν δήλωση συμμόρφωσης ΕΕ και θέτουν τη σήμανση «CE».</w:t>
      </w:r>
    </w:p>
    <w:p>
      <w:pPr>
        <w:pStyle w:val="MainText"/>
        <w:spacing w:before="120" w:after="0"/>
        <w:rPr>
          <w:lang w:val="el" w:eastAsia="el"/>
        </w:rPr>
      </w:pPr>
      <w:r>
        <w:rPr>
          <w:b/>
          <w:bCs/>
          <w:lang w:val="el" w:eastAsia="el"/>
        </w:rPr>
        <w:t>3.</w:t>
      </w:r>
      <w:r>
        <w:rPr>
          <w:lang w:val="el" w:eastAsia="el"/>
        </w:rPr>
        <w:t xml:space="preserve"> Οι κατασκευαστές διατηρούν τον τεχνικό φάκελο και τη δήλωση συμμόρφωσης ΕΕ επί πέντε (5) έτη από τη διάθεση του προϊόντος στην αγορά.</w:t>
      </w:r>
    </w:p>
    <w:p>
      <w:pPr>
        <w:pStyle w:val="MainText"/>
        <w:spacing w:before="120" w:after="0"/>
        <w:rPr>
          <w:lang w:val="el" w:eastAsia="el"/>
        </w:rPr>
      </w:pPr>
      <w:r>
        <w:rPr>
          <w:b/>
          <w:bCs/>
          <w:lang w:val="el" w:eastAsia="el"/>
        </w:rPr>
        <w:t>4.</w:t>
      </w:r>
      <w:r>
        <w:rPr>
          <w:lang w:val="el" w:eastAsia="el"/>
        </w:rPr>
        <w:t xml:space="preserve"> Οι κατασκευαστές εξασφαλίζουν τη συμμόρφωση των σειρών παραγωγής προς τον παρόντα. Οι αλλαγές στον σχεδιασμό ή τα χαρακτηριστικά του προϊόντος και οι αλλαγές στα εναρμονισμένα πρότυπα ή τις τεχνικές προδιαγραφές, με βάση τις οποίες δηλώνεται η συμμόρφωση προϊόντος, λαμβάνονται, δεόντως, υπόψη.</w:t>
      </w:r>
    </w:p>
    <w:p>
      <w:pPr>
        <w:pStyle w:val="MainText"/>
        <w:spacing w:before="120" w:after="0"/>
        <w:rPr>
          <w:lang w:val="el" w:eastAsia="el"/>
        </w:rPr>
      </w:pPr>
      <w:r>
        <w:rPr>
          <w:b/>
          <w:bCs/>
          <w:lang w:val="el" w:eastAsia="el"/>
        </w:rPr>
        <w:t>5.</w:t>
      </w:r>
      <w:r>
        <w:rPr>
          <w:lang w:val="el" w:eastAsia="el"/>
        </w:rPr>
        <w:t xml:space="preserve"> Οι κατασκευαστές εξασφαλίζουν ότι τα προϊόντα τους φέρουν αριθμό τύπου, παρτίδας ή σειράς ή άλλο στοιχείο που επιτρέπει την ταύτισή τους ή, όταν δεν το επιτρέπει το μέγεθος ή η φύση του προϊόντος, εξασφαλίζουν ότι οι απαραίτητες πληροφορίες αναγράφονται στη συσκευασία ή σε έγγραφο που συνοδεύει το προϊόν.</w:t>
      </w:r>
    </w:p>
    <w:p>
      <w:pPr>
        <w:pStyle w:val="MainText"/>
        <w:spacing w:before="120" w:after="0"/>
        <w:rPr>
          <w:lang w:val="el" w:eastAsia="el"/>
        </w:rPr>
      </w:pPr>
      <w:r>
        <w:rPr>
          <w:b/>
          <w:bCs/>
          <w:lang w:val="el" w:eastAsia="el"/>
        </w:rPr>
        <w:t>6.</w:t>
      </w:r>
      <w:r>
        <w:rPr>
          <w:lang w:val="el" w:eastAsia="el"/>
        </w:rPr>
        <w:t xml:space="preserve"> Οι κατασκευαστές σημειώνουν το όνομά τους, την καταχωρισμένη εμπορική επωνυμία τους ή το καταχωρισμένο εμπορικό σήμα τους και τη διεύθυνση επικοινωνίας τους στο προϊόν ή, όταν δεν είναι δυνατόν, στη συσκευασία του ή σε έγγραφο που συνοδεύει το προϊόν. Η διεύθυνση υποδεικνύει ένα μοναδικό στοιχείο επικοινωνίας με τον κατασκευαστή. Τα στοιχεία επικοινωνίας διατυπώνονται στην ελληνική γλώσσα, σε γραφή μπράιγ ή σε άλλες προσβάσιμες μορφές.</w:t>
      </w:r>
    </w:p>
    <w:p>
      <w:pPr>
        <w:pStyle w:val="MainText"/>
        <w:spacing w:before="120" w:after="0"/>
        <w:rPr>
          <w:lang w:val="el" w:eastAsia="el"/>
        </w:rPr>
      </w:pPr>
      <w:r>
        <w:rPr>
          <w:b/>
          <w:bCs/>
          <w:lang w:val="el" w:eastAsia="el"/>
        </w:rPr>
        <w:t>7.</w:t>
      </w:r>
      <w:r>
        <w:rPr>
          <w:lang w:val="el" w:eastAsia="el"/>
        </w:rPr>
        <w:t xml:space="preserve"> Οι κατασκευαστές εξασφαλίζουν ότι το προϊόν συνοδεύεται από οδηγίες και πληροφορίες ασφάλειας στην ελληνική γλώσσα. Οι ανωτέρω οδηγίες και πληροφορίες, καθώς και κάθε επισήμανση είναι σαφείς, κατανοητές και εύληπτες και είναι δυνατόν να παρασχεθούν σε προσβά- σιμη μορφή εφόσον ζητηθεί από τον πελάτη.</w:t>
      </w:r>
    </w:p>
    <w:p>
      <w:pPr>
        <w:pStyle w:val="MainText"/>
        <w:spacing w:before="120" w:after="0"/>
        <w:rPr>
          <w:lang w:val="el" w:eastAsia="el"/>
        </w:rPr>
      </w:pPr>
      <w:r>
        <w:rPr>
          <w:b/>
          <w:bCs/>
          <w:lang w:val="el" w:eastAsia="el"/>
        </w:rPr>
        <w:t>8.</w:t>
      </w:r>
      <w:r>
        <w:rPr>
          <w:lang w:val="el" w:eastAsia="el"/>
        </w:rPr>
        <w:t xml:space="preserve"> Οι κατασκευαστές που θεωρούν ότι προϊόν που έχουν διαθέσει στην αγορά δεν συμμορφώνεται με τον παρόντα λαμβάνουν αμέσως τα διορθωτικά μέτρα που είναι αναγκαία για να εξασφαλίσουν τη συμμόρφωσή του ή, κατά περίπτωση, να το αποσύρουν. Επιπλέον, όταν το προϊόν δεν συμμορφώνεται με τις απαιτήσεις προσβασιμότητας του παρόντος, οι κατασκευαστές ενημερώνουν αμέσως τις αρμόδιες αρχές εποπτείας της αγοράς και παραθέτουν λεπτομέρειες, ιδίως, για τη μη συμμόρφωση και τα διορθωτικά μέτρα που έλαβαν. Σε αυτές τις περιπτώσεις, οι κατασκευαστές διατηρούν μητρώο προϊόντων τα οποία δεν συμμορφώνονται με τις εφαρμοστέες απαιτήσεις προσβασιμότητας, καθώς και σχετικών καταγγελιών.</w:t>
      </w:r>
    </w:p>
    <w:p>
      <w:pPr>
        <w:pStyle w:val="MainText"/>
        <w:spacing w:before="120" w:after="0"/>
        <w:rPr>
          <w:lang w:val="el" w:eastAsia="el"/>
        </w:rPr>
      </w:pPr>
      <w:r>
        <w:rPr>
          <w:b/>
          <w:bCs/>
          <w:lang w:val="el" w:eastAsia="el"/>
        </w:rPr>
        <w:t>9.</w:t>
      </w:r>
      <w:r>
        <w:rPr>
          <w:lang w:val="el" w:eastAsia="el"/>
        </w:rPr>
        <w:t xml:space="preserve"> Οι κατασκευαστές παρέχουν, στην ελληνική γλώσσα, στην αρχή εποπτείας της αγοράς, κατόπιν αιτιολογημένου αιτήματός της, όλες τις πληροφορίες και την τεκμηρίωση που απαιτούνται για να αποδειχθεί η συμμόρφωση του προϊόντος. Αν προκύπτει η μη συμμόρφωση του προϊόντος σύμφωνα με τον παρόντα, οι κατασκευαστές συνεργάζονται με την αρχή, κατόπιν αιτήματός της, για την εξασφάλιση της συμμόρφωσης των προϊόντων με τις εφαρμοστέες απαιτήσεις προσβασιμότητας.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Εξουσιοδοτημένοι αντιπρόσωποι</w:t>
      </w:r>
    </w:p>
    <w:p>
      <w:pPr>
        <w:spacing w:before="240" w:after="240"/>
        <w:rPr>
          <w:lang w:val="el" w:eastAsia="el"/>
        </w:rPr>
      </w:pPr>
      <w:r>
        <w:rPr>
          <w:b/>
          <w:bCs/>
          <w:lang w:val="el" w:eastAsia="el"/>
        </w:rPr>
        <w:t>(άρθρο 8 Οδηγίας (ΕΕ) 2019/882)</w:t>
      </w:r>
    </w:p>
    <w:p>
      <w:pPr>
        <w:pStyle w:val="MainText"/>
        <w:spacing w:before="120" w:after="0"/>
        <w:rPr>
          <w:lang w:val="el" w:eastAsia="el"/>
        </w:rPr>
      </w:pPr>
      <w:r>
        <w:rPr>
          <w:b/>
          <w:bCs/>
          <w:lang w:val="el" w:eastAsia="el"/>
        </w:rPr>
        <w:t>1.</w:t>
      </w:r>
      <w:r>
        <w:rPr>
          <w:lang w:val="el" w:eastAsia="el"/>
        </w:rPr>
        <w:t xml:space="preserve"> Οι κατασκευαστές μπορούν να διορίζουν, με γραπτή εντολή, εξουσιοδοτημένο αντιπρόσωπο.</w:t>
      </w:r>
    </w:p>
    <w:p>
      <w:pPr>
        <w:pStyle w:val="MainText"/>
        <w:spacing w:before="120" w:after="0"/>
        <w:rPr>
          <w:lang w:val="el" w:eastAsia="el"/>
        </w:rPr>
      </w:pPr>
      <w:r>
        <w:rPr>
          <w:b/>
          <w:bCs/>
          <w:lang w:val="el" w:eastAsia="el"/>
        </w:rPr>
        <w:t>2.</w:t>
      </w:r>
      <w:r>
        <w:rPr>
          <w:lang w:val="el" w:eastAsia="el"/>
        </w:rPr>
        <w:t xml:space="preserve"> Οι υποχρεώσεις που ορίζονται στην παρ. 1 του άρθρου 7 και η κατάρτιση του τεχνικού φακέλου δεν ανατίθενται σε εξουσιοδοτημένο αντιπρόσωπο.</w:t>
      </w:r>
    </w:p>
    <w:p>
      <w:pPr>
        <w:spacing w:before="240" w:after="240"/>
        <w:rPr>
          <w:lang w:val="el" w:eastAsia="el"/>
        </w:rPr>
      </w:pPr>
      <w:r>
        <w:rPr>
          <w:lang w:val="el" w:eastAsia="el"/>
        </w:rPr>
        <w:t>Η εντολή προς τον εξουσιοδοτημένο αντιπρόσωπο επιτρέπει τουλάχιστον:</w:t>
      </w:r>
    </w:p>
    <w:p>
      <w:pPr>
        <w:pStyle w:val="StructureList1"/>
        <w:spacing w:before="120" w:after="0"/>
        <w:rPr>
          <w:lang w:val="el" w:eastAsia="el"/>
        </w:rPr>
      </w:pPr>
      <w:r>
        <w:rPr>
          <w:lang w:val="el" w:eastAsia="el"/>
        </w:rPr>
        <w:t>α)</w:t>
      </w:r>
      <w:r>
        <w:rPr>
          <w:lang w:val="en" w:eastAsia="en"/>
        </w:rPr>
        <w:tab/>
      </w:r>
      <w:r>
        <w:rPr>
          <w:lang w:val="el" w:eastAsia="el"/>
        </w:rPr>
        <w:t>τη διατήρηση της δήλωσης συμμόρφωσης Ευρωπαϊκής Ένωσης και τον τεχνικό φάκελο στη διάθεση των εποπτικών αρχών της αγοράς επί πέντε (5) έτη,</w:t>
      </w:r>
    </w:p>
    <w:p>
      <w:pPr>
        <w:pStyle w:val="StructureList1"/>
        <w:spacing w:before="120" w:after="0"/>
        <w:rPr>
          <w:lang w:val="el" w:eastAsia="el"/>
        </w:rPr>
      </w:pPr>
      <w:r>
        <w:rPr>
          <w:lang w:val="el" w:eastAsia="el"/>
        </w:rPr>
        <w:t>β)</w:t>
      </w:r>
      <w:r>
        <w:rPr>
          <w:lang w:val="en" w:eastAsia="en"/>
        </w:rPr>
        <w:tab/>
      </w:r>
      <w:r>
        <w:rPr>
          <w:lang w:val="el" w:eastAsia="el"/>
        </w:rPr>
        <w:t>την παροχή στην αρχή εποπτείας της αγοράς, κατόπιν αιτιολογημένου αιτήματός της, όλων των πληροφοριών και της τεκμηρίωσης που απαιτούνται για να αποδειχθεί η συμμόρφωση ενός προϊόντος,</w:t>
      </w:r>
    </w:p>
    <w:p>
      <w:pPr>
        <w:pStyle w:val="StructureList1"/>
        <w:spacing w:before="120" w:after="0"/>
        <w:rPr>
          <w:lang w:val="el" w:eastAsia="el"/>
        </w:rPr>
      </w:pPr>
      <w:r>
        <w:rPr>
          <w:lang w:val="el" w:eastAsia="el"/>
        </w:rPr>
        <w:t>γ)</w:t>
      </w:r>
      <w:r>
        <w:rPr>
          <w:lang w:val="en" w:eastAsia="en"/>
        </w:rPr>
        <w:tab/>
      </w:r>
      <w:r>
        <w:rPr>
          <w:lang w:val="el" w:eastAsia="el"/>
        </w:rPr>
        <w:t>τη συνεργασία με την αρχή εποπτείας της αγοράς, κατόπιν αιτήματός της, για τις ενέργειες για την εξασφάλιση της συμμόρφωσης με τις εφαρμοστέες απαιτήσεις προσβασιμότητας προϊόντων που καλύπτει η εντολή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Υποχρεώσεις των εισαγωγέων</w:t>
      </w:r>
    </w:p>
    <w:p>
      <w:pPr>
        <w:spacing w:before="240" w:after="240"/>
        <w:rPr>
          <w:lang w:val="el" w:eastAsia="el"/>
        </w:rPr>
      </w:pPr>
      <w:r>
        <w:rPr>
          <w:b/>
          <w:bCs/>
          <w:lang w:val="el" w:eastAsia="el"/>
        </w:rPr>
        <w:t>(άρθρο 9 Οδηγίας (ΕΕ) 2019/882)</w:t>
      </w:r>
    </w:p>
    <w:p>
      <w:pPr>
        <w:pStyle w:val="MainText"/>
        <w:spacing w:before="120" w:after="0"/>
        <w:rPr>
          <w:lang w:val="el" w:eastAsia="el"/>
        </w:rPr>
      </w:pPr>
      <w:r>
        <w:rPr>
          <w:b/>
          <w:bCs/>
          <w:lang w:val="el" w:eastAsia="el"/>
        </w:rPr>
        <w:t>1.</w:t>
      </w:r>
      <w:r>
        <w:rPr>
          <w:lang w:val="el" w:eastAsia="el"/>
        </w:rPr>
        <w:t xml:space="preserve"> Οι εισαγωγείς διαθέτουν στην αγορά μόνο συμμορ- φούμενα προϊόντα.</w:t>
      </w:r>
    </w:p>
    <w:p>
      <w:pPr>
        <w:pStyle w:val="MainText"/>
        <w:spacing w:before="120" w:after="0"/>
        <w:rPr>
          <w:lang w:val="el" w:eastAsia="el"/>
        </w:rPr>
      </w:pPr>
      <w:r>
        <w:rPr>
          <w:b/>
          <w:bCs/>
          <w:lang w:val="el" w:eastAsia="el"/>
        </w:rPr>
        <w:t>2.</w:t>
      </w:r>
      <w:r>
        <w:rPr>
          <w:lang w:val="el" w:eastAsia="el"/>
        </w:rPr>
        <w:t xml:space="preserve"> Πριν διαθέσουν προϊόν στην αγορά, οι εισαγωγείς διασφαλίζουν ότι ο κατασκευαστής έχει διενεργήσει την κατάλληλη διαδικασία αξιολόγησης της συμμόρφωσης του Παραρτήματος IV. Επίσης, οι εισαγωγές εξασφαλίζουν α) ότι ο κατασκευαστής έχει καταρτίσει τον τεχνικό φάκελο που απαιτεί το εν λόγω Παράρτημα, β) ότι το προϊόν φέρει τη σήμανση «CE» και συνοδεύεται από τα απαιτούμενα έγγραφα και γ) ότι ο κατασκευαστής έχει τηρήσει τις απαιτήσεις των παρ. 5 και 6 του άρθρου 7.</w:t>
      </w:r>
    </w:p>
    <w:p>
      <w:pPr>
        <w:pStyle w:val="MainText"/>
        <w:spacing w:before="120" w:after="0"/>
        <w:rPr>
          <w:lang w:val="el" w:eastAsia="el"/>
        </w:rPr>
      </w:pPr>
      <w:r>
        <w:rPr>
          <w:b/>
          <w:bCs/>
          <w:lang w:val="el" w:eastAsia="el"/>
        </w:rPr>
        <w:t>3.</w:t>
      </w:r>
      <w:r>
        <w:rPr>
          <w:lang w:val="el" w:eastAsia="el"/>
        </w:rPr>
        <w:t xml:space="preserve"> Εφόσον ένας εισαγωγέας θεωρεί ότι κάποιο προϊόν δεν συμμορφώνεται με τις εφαρμοστέες απαιτήσεις προσβασιμότητας του παρόντος, δεν διαθέτει το προϊόν στην αγορά μέχρις ότου αυτό συμμορφωθεί. Επίσης, ο εισαγωγέας ενημερώνει σχετικά τον κατασκευαστή, καθώς και την αρχή εποπτείας της αγοράς, όταν το προϊόν δεν συμμορφώνεται με τις εφαρμοστέες απαιτήσεις προσβασιμότητας.</w:t>
      </w:r>
    </w:p>
    <w:p>
      <w:pPr>
        <w:pStyle w:val="MainText"/>
        <w:spacing w:before="120" w:after="0"/>
        <w:rPr>
          <w:lang w:val="el" w:eastAsia="el"/>
        </w:rPr>
      </w:pPr>
      <w:r>
        <w:rPr>
          <w:b/>
          <w:bCs/>
          <w:lang w:val="el" w:eastAsia="el"/>
        </w:rPr>
        <w:t>4.</w:t>
      </w:r>
      <w:r>
        <w:rPr>
          <w:lang w:val="el" w:eastAsia="el"/>
        </w:rPr>
        <w:t xml:space="preserve"> Οι εισαγωγείς σημειώνουν το όνομα, την καταχωρισμένη εμπορική επωνυμία τους ή το καταχωρισμένο εμπορικό σήμα τους και τη διεύθυνση επικοινωνίας τους στο προϊόν ή, όταν δεν είναι δυνατόν, στη συσκευασία του ή σε έγγραφο που συνοδεύει το προϊόν. Τα στοιχεία επικοινωνίας διατυπώνονται στην ελληνική γλώσσα, σε γραφή μπράιγ ή σε άλλες προσβάσιμες μορφές.</w:t>
      </w:r>
    </w:p>
    <w:p>
      <w:pPr>
        <w:pStyle w:val="MainText"/>
        <w:spacing w:before="120" w:after="0"/>
        <w:rPr>
          <w:lang w:val="el" w:eastAsia="el"/>
        </w:rPr>
      </w:pPr>
      <w:r>
        <w:rPr>
          <w:b/>
          <w:bCs/>
          <w:lang w:val="el" w:eastAsia="el"/>
        </w:rPr>
        <w:t>5.</w:t>
      </w:r>
      <w:r>
        <w:rPr>
          <w:lang w:val="el" w:eastAsia="el"/>
        </w:rPr>
        <w:t xml:space="preserve"> Οι εισαγωγείς εξασφαλίζουν ότι το προϊόν συνοδεύεται από οδηγίες και πληροφορίες ασφαλείας στην ελληνική γλώσσα και είναι δυνατόν να παρασχεθούν σε προσβάσιμη μορφή εφόσον ζητηθεί από τον πελάτη.</w:t>
      </w:r>
    </w:p>
    <w:p>
      <w:pPr>
        <w:pStyle w:val="MainText"/>
        <w:spacing w:before="120" w:after="0"/>
        <w:rPr>
          <w:lang w:val="el" w:eastAsia="el"/>
        </w:rPr>
      </w:pPr>
      <w:r>
        <w:rPr>
          <w:b/>
          <w:bCs/>
          <w:lang w:val="el" w:eastAsia="el"/>
        </w:rPr>
        <w:t>6.</w:t>
      </w:r>
      <w:r>
        <w:rPr>
          <w:lang w:val="el" w:eastAsia="el"/>
        </w:rPr>
        <w:t xml:space="preserve"> Οι εισαγωγείς μεριμνούν ώστε, ενόσω είναι υπεύθυνοι για κάποιο προϊόν, οι συνθήκες αποθήκευσης ή μεταφοράς να μη θέτουν σε κίνδυνο τη συμμόρφωσή του με τις εφαρμοστέες απαιτήσεις προσβασιμότητας.</w:t>
      </w:r>
    </w:p>
    <w:p>
      <w:pPr>
        <w:pStyle w:val="MainText"/>
        <w:spacing w:before="120" w:after="0"/>
        <w:rPr>
          <w:lang w:val="el" w:eastAsia="el"/>
        </w:rPr>
      </w:pPr>
      <w:r>
        <w:rPr>
          <w:b/>
          <w:bCs/>
          <w:lang w:val="el" w:eastAsia="el"/>
        </w:rPr>
        <w:t>7.</w:t>
      </w:r>
      <w:r>
        <w:rPr>
          <w:lang w:val="el" w:eastAsia="el"/>
        </w:rPr>
        <w:t xml:space="preserve"> Οι εισαγωγείς θέτουν, για περίοδο πέντε (5) ετών, αντίγραφο της δήλωσης συμμόρφωσης ΕΕ στη διάθεση της αρχής εποπτείας της αγοράς και εξασφαλίζουν ότι ο τεχνικός φάκελος μπορεί να καταστεί διαθέσιμος, κατόπιν αιτήματός της.</w:t>
      </w:r>
    </w:p>
    <w:p>
      <w:pPr>
        <w:pStyle w:val="MainText"/>
        <w:spacing w:before="120" w:after="0"/>
        <w:rPr>
          <w:lang w:val="el" w:eastAsia="el"/>
        </w:rPr>
      </w:pPr>
      <w:r>
        <w:rPr>
          <w:b/>
          <w:bCs/>
          <w:lang w:val="el" w:eastAsia="el"/>
        </w:rPr>
        <w:t>8.</w:t>
      </w:r>
      <w:r>
        <w:rPr>
          <w:lang w:val="el" w:eastAsia="el"/>
        </w:rPr>
        <w:t xml:space="preserve"> Οι εισαγωγείς που θεωρούν ότι προϊόν που έχουν διαθέσει στην αγορά δεν συμμορφώνεται με τον παρόντα λαμβάνουν αμέσως τα διορθωτικά μέτρα που είναι αναγκαία για να εξασφαλίσουν τη συμμόρφωσή του ή να το αποσύρουν. Επιπλέον, όταν το προϊόν δεν συμμορφώνεται με τις εφαρμοστέες απαιτήσεις προσβασιμότητας, οι εισαγωγείς ενημερώνουν αμέσως σχετικά με το θέμα αυτό την αρχή εποπτείας της αγοράς και παραθέτουν λεπτομέρειες ιδίως για τη μη συμμόρφωση και τα διορθωτικά μέτρα που έλαβαν. Σε αυτές τις περιπτώσεις, οι εισαγωγείς διατηρούν μητρώο προϊόντων τα οποία δεν συμμορφώνονται με τις εφαρμοστέες απαιτήσεις προ- σβασιμότητας, καθώς και σχετικών καταγγελιών.</w:t>
      </w:r>
    </w:p>
    <w:p>
      <w:pPr>
        <w:pStyle w:val="MainText"/>
        <w:spacing w:before="120" w:after="0"/>
        <w:rPr>
          <w:lang w:val="el" w:eastAsia="el"/>
        </w:rPr>
      </w:pPr>
      <w:r>
        <w:rPr>
          <w:b/>
          <w:bCs/>
          <w:lang w:val="el" w:eastAsia="el"/>
        </w:rPr>
        <w:t>9.</w:t>
      </w:r>
      <w:r>
        <w:rPr>
          <w:lang w:val="el" w:eastAsia="el"/>
        </w:rPr>
        <w:t xml:space="preserve"> Οι εισαγωγείς παρέχουν, στην ελληνική γλώσσα, στην αρχή εποπτείας της αγοράς, κατόπιν αιτιολογημένου αιτήματός της, όλες τις πληροφορίες και την τεκμηρίωση που απαιτούνται για να αποδειχθεί η συμμόρφωση του προϊόντος. Επίσης, συνεργάζονται με την αρχή αυτή, κατόπιν αιτήματός της, για τις απαιτούμενες ενέργειες προς εξασφάλιση της συμμόρφωσης με τις εφαρμοστέες απαιτήσεις προσβασιμότητας των προϊόντων που έχουν διαθέσει στην αγορά.</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Υποχρεώσεις των διανομέων</w:t>
      </w:r>
    </w:p>
    <w:p>
      <w:pPr>
        <w:spacing w:before="240" w:after="240"/>
        <w:rPr>
          <w:lang w:val="el" w:eastAsia="el"/>
        </w:rPr>
      </w:pPr>
      <w:r>
        <w:rPr>
          <w:b/>
          <w:bCs/>
          <w:lang w:val="el" w:eastAsia="el"/>
        </w:rPr>
        <w:t>(άρθρο 10 Οδηγίας (ΕΕ) 2019/882)</w:t>
      </w:r>
    </w:p>
    <w:p>
      <w:pPr>
        <w:pStyle w:val="MainText"/>
        <w:spacing w:before="120" w:after="0"/>
        <w:rPr>
          <w:lang w:val="el" w:eastAsia="el"/>
        </w:rPr>
      </w:pPr>
      <w:r>
        <w:rPr>
          <w:b/>
          <w:bCs/>
          <w:lang w:val="el" w:eastAsia="el"/>
        </w:rPr>
        <w:t>1.</w:t>
      </w:r>
      <w:r>
        <w:rPr>
          <w:lang w:val="el" w:eastAsia="el"/>
        </w:rPr>
        <w:t xml:space="preserve"> Όταν οι διανομείς καθιστούν ένα προϊόν διαθέσιμο στην αγορά, ενεργούν με τη δέουσα προσοχή σε σχέση με τις απαιτήσεις του παρόντος.</w:t>
      </w:r>
    </w:p>
    <w:p>
      <w:pPr>
        <w:pStyle w:val="MainText"/>
        <w:spacing w:before="120" w:after="0"/>
        <w:rPr>
          <w:lang w:val="el" w:eastAsia="el"/>
        </w:rPr>
      </w:pPr>
      <w:r>
        <w:rPr>
          <w:b/>
          <w:bCs/>
          <w:lang w:val="el" w:eastAsia="el"/>
        </w:rPr>
        <w:t>2.</w:t>
      </w:r>
      <w:r>
        <w:rPr>
          <w:lang w:val="el" w:eastAsia="el"/>
        </w:rPr>
        <w:t xml:space="preserve"> Οι διανομείς, προτού καταστήσουν ένα προϊόν διαθέσιμο στην αγορά, επαληθεύουν: α) ότι το προϊόν φέρει τη σήμανση «CE», β) ότι συνοδεύεται από τα απαιτούμενα έγγραφα, τις οδηγίες και τις πληροφορίες ασφαλείας στην ελληνική γλώσσα, και γ) ότι ο κατασκευαστής και ο εισαγωγέας έχουν τηρήσει τις απαιτήσεις των παρ. 5 και 6 του άρθρου 7 και της παρ. 4 του άρθρου 9 αντίστοιχα.</w:t>
      </w:r>
    </w:p>
    <w:p>
      <w:pPr>
        <w:pStyle w:val="MainText"/>
        <w:spacing w:before="120" w:after="0"/>
        <w:rPr>
          <w:lang w:val="el" w:eastAsia="el"/>
        </w:rPr>
      </w:pPr>
      <w:r>
        <w:rPr>
          <w:b/>
          <w:bCs/>
          <w:lang w:val="el" w:eastAsia="el"/>
        </w:rPr>
        <w:t>3.</w:t>
      </w:r>
      <w:r>
        <w:rPr>
          <w:lang w:val="el" w:eastAsia="el"/>
        </w:rPr>
        <w:t xml:space="preserve"> Εφόσον ένας διανομέας θεωρεί ότι κάποιο προϊόν δεν συμμορφώνεται με τις εφαρμοστέες απαιτήσεις προσβασιμότητας του παρόντος, ο διανομέας δεν καθιστά το προϊόν διαθέσιμο στην αγορά, μέχρις ότου αυτό συμμορφωθεί. Επίσης, ο διανομέας ενημερώνει σχετικά τον κατασκευαστή ή τον εισαγωγέα, καθώς και την αρχή εποπτείας της αγοράς, όταν το προϊόν δεν συμμορφώνεται με τις εφαρμοστέες απαιτήσεις προσβασιμότητας.</w:t>
      </w:r>
    </w:p>
    <w:p>
      <w:pPr>
        <w:pStyle w:val="MainText"/>
        <w:spacing w:before="120" w:after="0"/>
        <w:rPr>
          <w:lang w:val="el" w:eastAsia="el"/>
        </w:rPr>
      </w:pPr>
      <w:r>
        <w:rPr>
          <w:b/>
          <w:bCs/>
          <w:lang w:val="el" w:eastAsia="el"/>
        </w:rPr>
        <w:t>4.</w:t>
      </w:r>
      <w:r>
        <w:rPr>
          <w:lang w:val="el" w:eastAsia="el"/>
        </w:rPr>
        <w:t xml:space="preserve"> Οι διανομείς μεριμνούν ώστε, ενόσω είναι υπεύθυνοι για κάποιο προϊόν, οι συνθήκες αποθήκευσης ή μεταφοράς να μην θέτουν σε κίνδυνο τη συμμόρφωσή του με τις εφαρμοστέες απαιτήσεις προσβασιμότητας.</w:t>
      </w:r>
    </w:p>
    <w:p>
      <w:pPr>
        <w:pStyle w:val="MainText"/>
        <w:spacing w:before="120" w:after="0"/>
        <w:rPr>
          <w:lang w:val="el" w:eastAsia="el"/>
        </w:rPr>
      </w:pPr>
      <w:r>
        <w:rPr>
          <w:b/>
          <w:bCs/>
          <w:lang w:val="el" w:eastAsia="el"/>
        </w:rPr>
        <w:t>5.</w:t>
      </w:r>
      <w:r>
        <w:rPr>
          <w:lang w:val="el" w:eastAsia="el"/>
        </w:rPr>
        <w:t xml:space="preserve"> Οι διανομείς που θεωρούν ή έχουν λόγους να πιστεύουν ότι προϊόν που έχουν καταστήσει διαθέσιμο στην αγορά δεν συμμορφώνεται με τον παρόντα διασφαλίζουν ότι λαμβάνονται τα διορθωτικά μέτρα που είναι αναγκαία για να εξασφαλίσουν τη συμμόρφωση του προϊόντος ή, κατά περίπτωση, την απόσυρσή του. Επιπλέον, όταν το προϊόν δεν συμμορφώνεται με τις εφαρμοστέες απαιτήσεις προσβασιμότητας, οι διανομείς ενημερώνουν αμέσως την αρχή εποπτείας της αγοράς και παραθέτουν λεπτομέρειες ιδίως για τη μη συμμόρφωση και τα διορθωτικά μέτρα που έλαβαν.</w:t>
      </w:r>
    </w:p>
    <w:p>
      <w:pPr>
        <w:pStyle w:val="MainText"/>
        <w:spacing w:before="120" w:after="0"/>
        <w:rPr>
          <w:lang w:val="el" w:eastAsia="el"/>
        </w:rPr>
      </w:pPr>
      <w:r>
        <w:rPr>
          <w:b/>
          <w:bCs/>
          <w:lang w:val="el" w:eastAsia="el"/>
        </w:rPr>
        <w:t>6.</w:t>
      </w:r>
      <w:r>
        <w:rPr>
          <w:lang w:val="el" w:eastAsia="el"/>
        </w:rPr>
        <w:t xml:space="preserve"> Οι διανομείς παρέχουν στην αρχή εποπτείας της αγοράς, κατόπιν αιτιολογημένου αιτήματός της, όλες τις πληροφορίες και την τεκμηρίωση που απαιτούνται για να αποδειχθεί η συμμόρφωση του προϊόντος. Επίσης, συνεργάζονται με την αρχή αυτή, κατόπιν αιτήμα- τός της, για την εξάλειψη της μη συμμόρφωσης με τις εφαρμοστέες απαιτήσεις προσβασιμότητας προϊόντων που έχουν διαθέσει στην αγορά.</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Περιπτώσεις στις οποίες οι υποχρεώσεις των κατασκευαστών εφαρμόζονται στους εισαγωγείς και στους διανομείς</w:t>
      </w:r>
    </w:p>
    <w:p>
      <w:pPr>
        <w:spacing w:before="240" w:after="240"/>
        <w:rPr>
          <w:lang w:val="el" w:eastAsia="el"/>
        </w:rPr>
      </w:pPr>
      <w:r>
        <w:rPr>
          <w:b/>
          <w:bCs/>
          <w:lang w:val="el" w:eastAsia="el"/>
        </w:rPr>
        <w:t>(άρθρο 11 Οδηγίας (ΕΕ) 2019/882)</w:t>
      </w:r>
    </w:p>
    <w:p>
      <w:pPr>
        <w:spacing w:before="240" w:after="240"/>
        <w:rPr>
          <w:lang w:val="el" w:eastAsia="el"/>
        </w:rPr>
      </w:pPr>
      <w:r>
        <w:rPr>
          <w:lang w:val="el" w:eastAsia="el"/>
        </w:rPr>
        <w:t>Για τους σκοπούς του παρόντος, ο εισαγωγέας ή ο διανομέας θεωρείται κατασκευαστής και υπόκειται στις υποχρεώσεις του κατασκευαστή σύμφωνα με το άρθρο 7, όταν διαθέτει προϊόν στην αγορά με την επωνυμία ή το εμπορικό σήμα του ή τροποποιεί προϊόν που διατίθεται ήδη στην αγορά κατά τρόπο που είναι δυνατόν να επηρεάσει τη συμμόρφωση με τις απαιτήσεις του παρόντος.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Ταυτοποίηση των οικονομικών φορέων που διαχειρίζονται προϊόντα</w:t>
      </w:r>
    </w:p>
    <w:p>
      <w:pPr>
        <w:spacing w:before="240" w:after="240"/>
        <w:rPr>
          <w:lang w:val="el" w:eastAsia="el"/>
        </w:rPr>
      </w:pPr>
      <w:r>
        <w:rPr>
          <w:b/>
          <w:bCs/>
          <w:lang w:val="el" w:eastAsia="el"/>
        </w:rPr>
        <w:t>(άρθρο 12 Οδηγίας (ΕΕ) 2019/882)</w:t>
      </w:r>
    </w:p>
    <w:p>
      <w:pPr>
        <w:pStyle w:val="MainText"/>
        <w:spacing w:before="120" w:after="0"/>
        <w:rPr>
          <w:lang w:val="el" w:eastAsia="el"/>
        </w:rPr>
      </w:pPr>
      <w:r>
        <w:rPr>
          <w:b/>
          <w:bCs/>
          <w:lang w:val="el" w:eastAsia="el"/>
        </w:rPr>
        <w:t>1.</w:t>
      </w:r>
      <w:r>
        <w:rPr>
          <w:lang w:val="el" w:eastAsia="el"/>
        </w:rPr>
        <w:t xml:space="preserve"> Οι οικονομικοί φορείς που αναφέρονται στα άρθρα 7 έως 10 προσδιορίζουν στις αρχές εποπτείας της αγοράς τα ακόλουθα:</w:t>
      </w:r>
    </w:p>
    <w:p>
      <w:pPr>
        <w:pStyle w:val="StructureList1"/>
        <w:spacing w:before="120" w:after="0"/>
        <w:rPr>
          <w:lang w:val="el" w:eastAsia="el"/>
        </w:rPr>
      </w:pPr>
      <w:r>
        <w:rPr>
          <w:lang w:val="el" w:eastAsia="el"/>
        </w:rPr>
        <w:t>α)</w:t>
      </w:r>
      <w:r>
        <w:rPr>
          <w:lang w:val="en" w:eastAsia="en"/>
        </w:rPr>
        <w:tab/>
      </w:r>
      <w:r>
        <w:rPr>
          <w:lang w:val="el" w:eastAsia="el"/>
        </w:rPr>
        <w:t>κάθε άλλον οικονομικό φορέα ο οποίος τους έχει προμηθεύσει προϊόν,</w:t>
      </w:r>
    </w:p>
    <w:p>
      <w:pPr>
        <w:pStyle w:val="StructureList1"/>
        <w:spacing w:before="120" w:after="0"/>
        <w:rPr>
          <w:lang w:val="el" w:eastAsia="el"/>
        </w:rPr>
      </w:pPr>
      <w:r>
        <w:rPr>
          <w:lang w:val="el" w:eastAsia="el"/>
        </w:rPr>
        <w:t>β)</w:t>
      </w:r>
      <w:r>
        <w:rPr>
          <w:lang w:val="en" w:eastAsia="en"/>
        </w:rPr>
        <w:tab/>
      </w:r>
      <w:r>
        <w:rPr>
          <w:lang w:val="el" w:eastAsia="el"/>
        </w:rPr>
        <w:t>κάθε άλλον οικονομικό φορέα στον οποίον έχουν προμηθεύσει προϊόν.</w:t>
      </w:r>
    </w:p>
    <w:p>
      <w:pPr>
        <w:pStyle w:val="MainText"/>
        <w:spacing w:before="120" w:after="0"/>
        <w:rPr>
          <w:lang w:val="el" w:eastAsia="el"/>
        </w:rPr>
      </w:pPr>
      <w:r>
        <w:rPr>
          <w:b/>
          <w:bCs/>
          <w:lang w:val="el" w:eastAsia="el"/>
        </w:rPr>
        <w:t>2.</w:t>
      </w:r>
      <w:r>
        <w:rPr>
          <w:lang w:val="el" w:eastAsia="el"/>
        </w:rPr>
        <w:t xml:space="preserve"> Οι οικονομικοί φορείς των άρθρων 7 έως 10 οφείλουν να είναι σε θέση να παρέχουν τις πληροφορίες της παρ. 1 επί πέντε (5) έτη αφότου έχουν προμηθευτεί το προϊόν και επί πέντε (5) έτη αφότου έχουν προμηθεύσει το προϊόν.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των παρόχων υπηρεσιών</w:t>
      </w:r>
    </w:p>
    <w:p>
      <w:pPr>
        <w:spacing w:before="240" w:after="240"/>
        <w:rPr>
          <w:lang w:val="el" w:eastAsia="el"/>
        </w:rPr>
      </w:pPr>
      <w:r>
        <w:rPr>
          <w:b/>
          <w:bCs/>
          <w:lang w:val="el" w:eastAsia="el"/>
        </w:rPr>
        <w:t>(άρθρο 13 Οδηγίας (ΕΕ) 2019/882)</w:t>
      </w:r>
    </w:p>
    <w:p>
      <w:pPr>
        <w:pStyle w:val="MainText"/>
        <w:spacing w:before="120" w:after="0"/>
        <w:rPr>
          <w:lang w:val="el" w:eastAsia="el"/>
        </w:rPr>
      </w:pPr>
      <w:r>
        <w:rPr>
          <w:b/>
          <w:bCs/>
          <w:lang w:val="el" w:eastAsia="el"/>
        </w:rPr>
        <w:t>1.</w:t>
      </w:r>
      <w:r>
        <w:rPr>
          <w:lang w:val="el" w:eastAsia="el"/>
        </w:rPr>
        <w:t xml:space="preserve"> Οι πάροχοι υπηρεσιών σχεδιάζουν και παρέχουν υπηρεσίες σύμφωνα με τις απαιτήσεις προσβασιμότητας του παρόντος.</w:t>
      </w:r>
    </w:p>
    <w:p>
      <w:pPr>
        <w:pStyle w:val="MainText"/>
        <w:spacing w:before="120" w:after="0"/>
        <w:rPr>
          <w:lang w:val="el" w:eastAsia="el"/>
        </w:rPr>
      </w:pPr>
      <w:r>
        <w:rPr>
          <w:b/>
          <w:bCs/>
          <w:lang w:val="el" w:eastAsia="el"/>
        </w:rPr>
        <w:t>2.</w:t>
      </w:r>
      <w:r>
        <w:rPr>
          <w:lang w:val="el" w:eastAsia="el"/>
        </w:rPr>
        <w:t xml:space="preserve"> α) Οι πάροχοι υπηρεσιών συντάσσουν τις πληροφορίες που απαιτούνται σύμφωνα με το Παράρτημα V και παραθέτουν πώς οι υπηρεσίες ικανοποιούν τις εφαρμοστέες απαιτήσεις προσβασιμότητας. Οι πληροφορίες διατίθενται στο κοινό σε γραπτή και προφορική μορφή, μεταξύ άλλων, με τρόπο ώστε να είναι προσβάσιμες σε άτομα με αναπηρία. Οι πάροχοι υπηρεσιών διατηρούν τις πληροφορίες για όσο χρονικό διάστημα η υπηρεσία είναι σε λειτουργία.</w:t>
      </w:r>
    </w:p>
    <w:p>
      <w:pPr>
        <w:pStyle w:val="StructureList1"/>
        <w:spacing w:before="120" w:after="0"/>
        <w:rPr>
          <w:lang w:val="el" w:eastAsia="el"/>
        </w:rPr>
      </w:pPr>
      <w:r>
        <w:rPr>
          <w:lang w:val="el" w:eastAsia="el"/>
        </w:rPr>
        <w:t>β)</w:t>
      </w:r>
      <w:r>
        <w:rPr>
          <w:lang w:val="en" w:eastAsia="en"/>
        </w:rPr>
        <w:tab/>
      </w:r>
      <w:r>
        <w:rPr>
          <w:lang w:val="el" w:eastAsia="el"/>
        </w:rPr>
        <w:t>Οι ειδικές απαιτήσεις προσβασιμότητας του Τμήματος V του Παραρτήματος Ι προσφέρονται από τους παρόχους υπηρεσιών ατελώς στο σύνολό τους και χωρίς υποχρέωση χρήσης οποιουδήποτε μέσου πληρωμής, σύμφωνα με το άρθρο 217 του ν. 4727/2020 (Α’ 184).</w:t>
      </w:r>
    </w:p>
    <w:p>
      <w:pPr>
        <w:pStyle w:val="MainText"/>
        <w:spacing w:before="120" w:after="0"/>
        <w:rPr>
          <w:lang w:val="el" w:eastAsia="el"/>
        </w:rPr>
      </w:pPr>
      <w:r>
        <w:rPr>
          <w:b/>
          <w:bCs/>
          <w:lang w:val="el" w:eastAsia="el"/>
        </w:rPr>
        <w:t>3.</w:t>
      </w:r>
      <w:r>
        <w:rPr>
          <w:lang w:val="el" w:eastAsia="el"/>
        </w:rPr>
        <w:t xml:space="preserve"> Με την επιφύλαξη του άρθρου 28 του παρόντος, οι πάροχοι υπηρεσιών εξασφαλίζουν ότι προβλέπονται διαδικασίες, ώστε η παροχή υπηρεσιών να συμμορφώνεται με τις εφαρμοστέες απαιτήσεις προσβασιμότητας. Οι αλλαγές στα χαρακτηριστικά της παροχής της υπηρεσίας, οι αλλαγές στις εφαρμοστέες απαιτήσεις προσβα- σιμότητας και οι αλλαγές στα εναρμονισμένα πρότυπα ή τις τεχνικές προδιαγραφές με βάση τις οποίες δηλώνεται η συμμόρφωση της υπηρεσίας με τις απαιτήσεις προ- σβασιμότητας λαμβάνονται δεόντως υπόψη από τους παρόχους υπηρεσιών.</w:t>
      </w:r>
    </w:p>
    <w:p>
      <w:pPr>
        <w:pStyle w:val="MainText"/>
        <w:spacing w:before="120" w:after="0"/>
        <w:rPr>
          <w:lang w:val="el" w:eastAsia="el"/>
        </w:rPr>
      </w:pPr>
      <w:r>
        <w:rPr>
          <w:b/>
          <w:bCs/>
          <w:lang w:val="el" w:eastAsia="el"/>
        </w:rPr>
        <w:t>4.</w:t>
      </w:r>
      <w:r>
        <w:rPr>
          <w:lang w:val="el" w:eastAsia="el"/>
        </w:rPr>
        <w:t xml:space="preserve"> Σε περίπτωση μη συμμόρφωσης, οι πάροχοι υπηρεσιών λαμβάνουν τα διορθωτικά μέτρα που είναι αναγκαία για να εξασφαλίσουν τη συμμόρφωση της υπηρεσίας, σύμφωνα με τις εφαρμοστέες απαιτήσεις προσβασιμότητας.</w:t>
      </w:r>
    </w:p>
    <w:p>
      <w:pPr>
        <w:spacing w:before="240" w:after="240"/>
        <w:rPr>
          <w:lang w:val="el" w:eastAsia="el"/>
        </w:rPr>
      </w:pPr>
      <w:r>
        <w:rPr>
          <w:lang w:val="el" w:eastAsia="el"/>
        </w:rPr>
        <w:t>Επιπλέον, όταν η υπηρεσία δεν συμμορφώνεται με τις εφαρμοστέες απαιτήσεις προσβασιμότητας, οι πάροχοι υπηρεσιών ενημερώνουν αμέσως σχετικά με το θέμα αυτό την αρμόδια αρχή εποπτείας της αγοράς και παραθέτουν λεπτομέρειες ιδίως για τη μη συμμόρφωση και τα διορθωτικά μέτρα που έλαβαν.</w:t>
      </w:r>
    </w:p>
    <w:p>
      <w:pPr>
        <w:pStyle w:val="MainText"/>
        <w:spacing w:before="120" w:after="0"/>
        <w:rPr>
          <w:lang w:val="el" w:eastAsia="el"/>
        </w:rPr>
      </w:pPr>
      <w:r>
        <w:rPr>
          <w:b/>
          <w:bCs/>
          <w:lang w:val="el" w:eastAsia="el"/>
        </w:rPr>
        <w:t>5.</w:t>
      </w:r>
      <w:r>
        <w:rPr>
          <w:lang w:val="el" w:eastAsia="el"/>
        </w:rPr>
        <w:t xml:space="preserve"> Οι πάροχοι υπηρεσιών παρέχουν στην αρμόδια αρχή, κατόπιν αιτιολογημένου αιτήματός της, όλες τις πληροφορίες που απαιτούνται για να αποδειχθεί η συμμόρφωση της υπηρεσίας με τις εφαρμοστέες απαιτήσεις προσβασιμότητας. Επίσης, συνεργάζονται με την αρχή αυτή, κατόπιν αιτήματός της, για τη συμμόρφωση της υπηρεσίας με τις εν λόγω απαιτήσεις.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ΤΕΚΜΗΡΙΟ ΣΥΜΜΟΡΦΩΣΗΣ ΚΑΙ ΠΑΡΕΚΚΛΙΣΕΙΣ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Θεμελιώδης μεταβολή και δυσανάλογη επιβάρυνση</w:t>
      </w:r>
    </w:p>
    <w:p>
      <w:pPr>
        <w:spacing w:before="240" w:after="240"/>
        <w:rPr>
          <w:lang w:val="el" w:eastAsia="el"/>
        </w:rPr>
      </w:pPr>
      <w:r>
        <w:rPr>
          <w:b/>
          <w:bCs/>
          <w:lang w:val="el" w:eastAsia="el"/>
        </w:rPr>
        <w:t>(άρθρο 14 Οδηγίας (ΕΕ) 2019/882)</w:t>
      </w:r>
    </w:p>
    <w:p>
      <w:pPr>
        <w:pStyle w:val="MainText"/>
        <w:spacing w:before="120" w:after="0"/>
        <w:rPr>
          <w:lang w:val="el" w:eastAsia="el"/>
        </w:rPr>
      </w:pPr>
      <w:r>
        <w:rPr>
          <w:b/>
          <w:bCs/>
          <w:lang w:val="el" w:eastAsia="el"/>
        </w:rPr>
        <w:t>1.</w:t>
      </w:r>
      <w:r>
        <w:rPr>
          <w:lang w:val="el" w:eastAsia="el"/>
        </w:rPr>
        <w:t xml:space="preserve"> Οι απαιτήσεις προσβασιμότητας που αναφέρονται στο άρθρο 5 εφαρμόζονται στον βαθμό που η συμμόρφωση:</w:t>
      </w:r>
    </w:p>
    <w:p>
      <w:pPr>
        <w:pStyle w:val="StructureList1"/>
        <w:spacing w:before="120" w:after="0"/>
        <w:rPr>
          <w:lang w:val="el" w:eastAsia="el"/>
        </w:rPr>
      </w:pPr>
      <w:r>
        <w:rPr>
          <w:lang w:val="el" w:eastAsia="el"/>
        </w:rPr>
        <w:t>α)</w:t>
      </w:r>
      <w:r>
        <w:rPr>
          <w:lang w:val="en" w:eastAsia="en"/>
        </w:rPr>
        <w:tab/>
      </w:r>
      <w:r>
        <w:rPr>
          <w:lang w:val="el" w:eastAsia="el"/>
        </w:rPr>
        <w:t>δεν απαιτεί σημαντική αλλαγή στα προϊόντα ή τις υπηρεσίες με αποτέλεσμα τη θεμελιώδη μεταβολή του βασικού χαρακτήρα τους, και</w:t>
      </w:r>
    </w:p>
    <w:p>
      <w:pPr>
        <w:pStyle w:val="StructureList1"/>
        <w:spacing w:before="120" w:after="0"/>
        <w:rPr>
          <w:lang w:val="el" w:eastAsia="el"/>
        </w:rPr>
      </w:pPr>
      <w:r>
        <w:rPr>
          <w:lang w:val="el" w:eastAsia="el"/>
        </w:rPr>
        <w:t>β)</w:t>
      </w:r>
      <w:r>
        <w:rPr>
          <w:lang w:val="en" w:eastAsia="en"/>
        </w:rPr>
        <w:tab/>
      </w:r>
      <w:r>
        <w:rPr>
          <w:lang w:val="el" w:eastAsia="el"/>
        </w:rPr>
        <w:t>δεν συνεπάγεται την επιβολή δυσανάλογης επιβάρυνσης για τους ενδιαφερόμενους οικονομικούς φορείς.</w:t>
      </w:r>
    </w:p>
    <w:p>
      <w:pPr>
        <w:pStyle w:val="MainText"/>
        <w:spacing w:before="120" w:after="0"/>
        <w:rPr>
          <w:lang w:val="el" w:eastAsia="el"/>
        </w:rPr>
      </w:pPr>
      <w:r>
        <w:rPr>
          <w:b/>
          <w:bCs/>
          <w:lang w:val="el" w:eastAsia="el"/>
        </w:rPr>
        <w:t>2.</w:t>
      </w:r>
      <w:r>
        <w:rPr>
          <w:lang w:val="el" w:eastAsia="el"/>
        </w:rPr>
        <w:t xml:space="preserve"> Οι οικονομικοί φορείς διενεργούν τεκμηριωμένη εκτίμηση ως προς το κατά πόσον η συμμόρφωση με τις απαιτήσεις προσβασιμότητας του άρθρου 5 προκαλεί σημαντική αλλαγή ή, με βάση τα σχετικά κριτήρια που προσδιορίζονται στο Παράρτημα VI, συνεπάγεται δυσανάλογη επιβάρυνση κατά την περ. β) της παρ. 1.</w:t>
      </w:r>
    </w:p>
    <w:p>
      <w:pPr>
        <w:pStyle w:val="MainText"/>
        <w:spacing w:before="120" w:after="0"/>
        <w:rPr>
          <w:lang w:val="el" w:eastAsia="el"/>
        </w:rPr>
      </w:pPr>
      <w:r>
        <w:rPr>
          <w:b/>
          <w:bCs/>
          <w:lang w:val="el" w:eastAsia="el"/>
        </w:rPr>
        <w:t>3.</w:t>
      </w:r>
      <w:r>
        <w:rPr>
          <w:lang w:val="el" w:eastAsia="el"/>
        </w:rPr>
        <w:t xml:space="preserve"> Οι οικονομικοί φορείς διατηρούν όλα τα σχετικά αποτελέσματα για περίοδο πέντε (5) ετών, η οποία υπολογίζεται από την ημερομηνία της τελευταίας διάθεσης προϊόντος στην αγορά ή της τελευταίας παροχής υπηρεσίας, κατά περίπτωση. Κατόπιν αιτήματος της αρχής εποπτείας της αγοράς ή της αρχής ελέγχου της συμμόρφωσης των υπηρεσιών, κατά περίπτωση, οι οικονομικοί φορείς παρέχουν στις αρχές αντίγραφο της εκτίμησης που αναφέρεται στην παρ. 2.</w:t>
      </w:r>
    </w:p>
    <w:p>
      <w:pPr>
        <w:pStyle w:val="MainText"/>
        <w:spacing w:before="120" w:after="0"/>
        <w:rPr>
          <w:lang w:val="el" w:eastAsia="el"/>
        </w:rPr>
      </w:pPr>
      <w:r>
        <w:rPr>
          <w:b/>
          <w:bCs/>
          <w:lang w:val="el" w:eastAsia="el"/>
        </w:rPr>
        <w:t>4.</w:t>
      </w:r>
      <w:r>
        <w:rPr>
          <w:lang w:val="el" w:eastAsia="el"/>
        </w:rPr>
        <w:t xml:space="preserve"> Κατά παρέκκλιση της παρ. 2, οι πολύ μικρές επιχειρήσεις στον τομέα των προϊόντων απαλλάσσονται από την απαίτηση να τεκμηριώνουν την εκτίμησή τους. Ωστόσο, εάν η αρχή εποπτείας της αγοράς το ζητήσει, οι πολύ μικρές επιχειρήσεις στον τομέα των προϊόντων για τα οποία έχουν επιλέξει να επικαλεστούν την παρ. 1, παρέχουν στην αρχή τα τεκμήρια που αφορούν στην εκτίμηση που αναφέρεται στην παρ. 2.</w:t>
      </w:r>
    </w:p>
    <w:p>
      <w:pPr>
        <w:pStyle w:val="MainText"/>
        <w:spacing w:before="120" w:after="0"/>
        <w:rPr>
          <w:lang w:val="el" w:eastAsia="el"/>
        </w:rPr>
      </w:pPr>
      <w:r>
        <w:rPr>
          <w:b/>
          <w:bCs/>
          <w:lang w:val="el" w:eastAsia="el"/>
        </w:rPr>
        <w:t>5.</w:t>
      </w:r>
      <w:r>
        <w:rPr>
          <w:lang w:val="el" w:eastAsia="el"/>
        </w:rPr>
        <w:t xml:space="preserve"> Οι πάροχοι υπηρεσιών που επικαλούνται την περ. β) της παρ. 1, ανανεώνουν, τουλάχιστον για πέντε (5) έτη, για κάθε κατηγορία ή είδος υπηρεσίας, την εκτίμησή τους για το κατά πόσον η επιβάρυνση είναι δυσανάλογη: α) όταν μεταβάλλεται η προσφερόμενη υπηρεσία, ή β) όταν ζητείται από τις αρχές εποπτείας της συμμόρφωσης των υπηρεσιών.</w:t>
      </w:r>
    </w:p>
    <w:p>
      <w:pPr>
        <w:pStyle w:val="MainText"/>
        <w:spacing w:before="120" w:after="0"/>
        <w:rPr>
          <w:lang w:val="el" w:eastAsia="el"/>
        </w:rPr>
      </w:pPr>
      <w:r>
        <w:rPr>
          <w:b/>
          <w:bCs/>
          <w:lang w:val="el" w:eastAsia="el"/>
        </w:rPr>
        <w:t>6.</w:t>
      </w:r>
      <w:r>
        <w:rPr>
          <w:lang w:val="el" w:eastAsia="el"/>
        </w:rPr>
        <w:t xml:space="preserve"> Όταν οι οικονομικοί φορείς, είτε του δημόσιου, είτε του ιδιωτικού τομέα, λαμβάνουν χρηματοδότηση από άλλες πηγές, πλην των ιδίων πόρων του οικονομικού φορέα, που παρέχεται για τον σκοπό της βελτίωσης της προσβασιμό- τητας, δεν μπορούν να επικαλούνται την περ. β) της παρ. 1.</w:t>
      </w:r>
    </w:p>
    <w:p>
      <w:pPr>
        <w:pStyle w:val="MainText"/>
        <w:spacing w:before="120" w:after="0"/>
        <w:rPr>
          <w:lang w:val="el" w:eastAsia="el"/>
        </w:rPr>
      </w:pPr>
      <w:r>
        <w:rPr>
          <w:b/>
          <w:bCs/>
          <w:lang w:val="el" w:eastAsia="el"/>
        </w:rPr>
        <w:t>7.</w:t>
      </w:r>
      <w:r>
        <w:rPr>
          <w:lang w:val="el" w:eastAsia="el"/>
        </w:rPr>
        <w:t xml:space="preserve"> Όταν οι οικονομικοί φορείς επικαλούνται την παρ. 1 για συγκεκριμένο προϊόν ή συγκεκριμένη υπηρεσία, ενημερώνουν σχετικά την αρχή εποπτείας της αγοράς ή την υπηρεσία που είναι αρμόδια για τον έλεγχο της συμμόρφωσης των υπηρεσιών. Το πρώτο εδάφιο δεν εφαρμόζεται στις πολύ μικρές επιχειρήσεις.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Τεκμήριο συμμόρφωσης</w:t>
      </w:r>
    </w:p>
    <w:p>
      <w:pPr>
        <w:spacing w:before="240" w:after="240"/>
        <w:rPr>
          <w:lang w:val="el" w:eastAsia="el"/>
        </w:rPr>
      </w:pPr>
      <w:r>
        <w:rPr>
          <w:b/>
          <w:bCs/>
          <w:lang w:val="el" w:eastAsia="el"/>
        </w:rPr>
        <w:t>(άρθρο 15 Οδηγίας (ΕΕ) 2019/882)</w:t>
      </w:r>
    </w:p>
    <w:p>
      <w:pPr>
        <w:pStyle w:val="MainText"/>
        <w:spacing w:before="120" w:after="0"/>
        <w:rPr>
          <w:lang w:val="el" w:eastAsia="el"/>
        </w:rPr>
      </w:pPr>
      <w:r>
        <w:rPr>
          <w:b/>
          <w:bCs/>
          <w:lang w:val="el" w:eastAsia="el"/>
        </w:rPr>
        <w:t>1.</w:t>
      </w:r>
      <w:r>
        <w:rPr>
          <w:lang w:val="el" w:eastAsia="el"/>
        </w:rPr>
        <w:t xml:space="preserve"> Τα προϊόντα και οι υπηρεσίες που συμμορφώνονται με τα εναρμονισμένα πρότυπα ή με μέρη αυτών, τα στοιχεία των οποίων έχουν δημοσιευθεί στην Επίσημη Εφημερίδα της Ευρωπαϊκής Ένωσης, τεκμαίρεται ότι συμμορφώνονται με τις απαιτήσεις προσβασιμότητας του παρόντος, εφόσον τα εν λόγω πρότυπα ή τα μέρη τους καλύπτουν τις απαιτήσεις αυτές.</w:t>
      </w:r>
    </w:p>
    <w:p>
      <w:pPr>
        <w:pStyle w:val="MainText"/>
        <w:spacing w:before="120" w:after="0"/>
        <w:rPr>
          <w:lang w:val="el" w:eastAsia="el"/>
        </w:rPr>
      </w:pPr>
      <w:r>
        <w:rPr>
          <w:b/>
          <w:bCs/>
          <w:lang w:val="el" w:eastAsia="el"/>
        </w:rPr>
        <w:t>2.</w:t>
      </w:r>
      <w:r>
        <w:rPr>
          <w:lang w:val="el" w:eastAsia="el"/>
        </w:rPr>
        <w:t xml:space="preserve"> Τα προϊόντα και οι υπηρεσίες που συμμορφώνονται με τις τεχνικές προδιαγραφές ή με μέρη αυτών τεκμαί- ρεται ότι συμμορφώνονται με τις απαιτήσεις προσβα- σιμότητας του παρόντος, εφόσον οι εν λόγω τεχνικές προδιαγραφές ή τα μέρη τους καλύπτουν τις απαιτήσεις αυτές.</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ΣΗΜΑΝΣΗ «CE»</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Δήλωση ΕΕ για τη συμμόρφωση των προϊόντων (άρθρο 16 Οδηγίας (ΕΕ) 2019/882)</w:t>
      </w:r>
    </w:p>
    <w:p>
      <w:pPr>
        <w:pStyle w:val="MainText"/>
        <w:spacing w:before="120" w:after="0"/>
        <w:rPr>
          <w:lang w:val="el" w:eastAsia="el"/>
        </w:rPr>
      </w:pPr>
      <w:r>
        <w:rPr>
          <w:b/>
          <w:bCs/>
          <w:lang w:val="el" w:eastAsia="el"/>
        </w:rPr>
        <w:t>1.</w:t>
      </w:r>
      <w:r>
        <w:rPr>
          <w:lang w:val="el" w:eastAsia="el"/>
        </w:rPr>
        <w:t xml:space="preserve"> Με τη δήλωση συμμόρφωσης ΕΕ δηλώνεται ότι πληρούνται αποδεδειγμένα οι εφαρμοστέες απαιτήσεις προσβασιμότητας. Όταν κατ’ εξαίρεση γίνεται χρήση του άρθρου 14, η δήλωση συμμόρφωσης ΕΕ αναφέρει ποιες απαιτήσεις προσβασιμότητας υπάγονται σε αυτή την εξαίρεση.</w:t>
      </w:r>
    </w:p>
    <w:p>
      <w:pPr>
        <w:pStyle w:val="MainText"/>
        <w:spacing w:before="120" w:after="0"/>
        <w:rPr>
          <w:lang w:val="el" w:eastAsia="el"/>
        </w:rPr>
      </w:pPr>
      <w:r>
        <w:rPr>
          <w:b/>
          <w:bCs/>
          <w:lang w:val="el" w:eastAsia="el"/>
        </w:rPr>
        <w:t>2.</w:t>
      </w:r>
      <w:r>
        <w:rPr>
          <w:lang w:val="el" w:eastAsia="el"/>
        </w:rPr>
        <w:t xml:space="preserve"> Η δήλωση συμμόρφωσης ΕΕ συντάσσεται ή μεταφράζεται στην ελληνική γλώσσα και έχει τη δομή που ορίζεται στο Παράρτημα VII. Επίσης, περιέχει τα στοιχεία που ορίζονται στο Παράρτημα IV και επικαιροποιείται συνεχώς. Οι απαιτήσεις σχετικά με την τεχνική τεκμηρίωση δεν επιβάλλουν αδικαιολόγητη επιβάρυνση στις πολύ μικρές, τις μικρές και τις μεσαίες επιχειρήσεις.</w:t>
      </w:r>
    </w:p>
    <w:p>
      <w:pPr>
        <w:pStyle w:val="MainText"/>
        <w:spacing w:before="120" w:after="0"/>
        <w:rPr>
          <w:lang w:val="el" w:eastAsia="el"/>
        </w:rPr>
      </w:pPr>
      <w:r>
        <w:rPr>
          <w:b/>
          <w:bCs/>
          <w:lang w:val="el" w:eastAsia="el"/>
        </w:rPr>
        <w:t>3.</w:t>
      </w:r>
      <w:r>
        <w:rPr>
          <w:lang w:val="el" w:eastAsia="el"/>
        </w:rPr>
        <w:t xml:space="preserve"> Όταν ένα προϊόν διέπεται από περισσότερες από μία ενωσιακές πράξεις βάσει των οποίων απαιτείται δήλωση συμμόρφωσης ΕΕ, καταρτίζεται μια και μόνο δήλωση συμμόρφωσης ΕΕ για όλες τις εν λόγω ενωσι- ακές πράξεις. Η δήλωση αυτή περιέχει τα στοιχεία των οικείων πράξεων, συμπεριλαμβανομένων των στοιχείων δημοσίευσής τους.</w:t>
      </w:r>
    </w:p>
    <w:p>
      <w:pPr>
        <w:pStyle w:val="MainText"/>
        <w:spacing w:before="120" w:after="0"/>
        <w:rPr>
          <w:lang w:val="el" w:eastAsia="el"/>
        </w:rPr>
      </w:pPr>
      <w:r>
        <w:rPr>
          <w:b/>
          <w:bCs/>
          <w:lang w:val="el" w:eastAsia="el"/>
        </w:rPr>
        <w:t>4.</w:t>
      </w:r>
      <w:r>
        <w:rPr>
          <w:lang w:val="el" w:eastAsia="el"/>
        </w:rPr>
        <w:t xml:space="preserve"> Με την κατάρτιση της δήλωσης συμμόρφωσης ΕΕ, ο κατασκευαστής αναλαμβάνει την ευθύνη για τη συμμόρφωση του προϊόντος προς τις απαιτήσεις του παρόντος.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Γενικές αρχές της σήμανσης «CE» των προϊόντων</w:t>
      </w:r>
    </w:p>
    <w:p>
      <w:pPr>
        <w:spacing w:before="240" w:after="240"/>
        <w:rPr>
          <w:lang w:val="el" w:eastAsia="el"/>
        </w:rPr>
      </w:pPr>
      <w:r>
        <w:rPr>
          <w:b/>
          <w:bCs/>
          <w:lang w:val="el" w:eastAsia="el"/>
        </w:rPr>
        <w:t>(άρθρο 17 Οδηγίας (ΕΕ) 2019/882)</w:t>
      </w:r>
    </w:p>
    <w:p>
      <w:pPr>
        <w:spacing w:before="240" w:after="240"/>
        <w:rPr>
          <w:lang w:val="el" w:eastAsia="el"/>
        </w:rPr>
      </w:pPr>
      <w:r>
        <w:rPr>
          <w:lang w:val="el" w:eastAsia="el"/>
        </w:rPr>
        <w:t>Η σήμανση «CE» υπόκειται στις γενικές αρχές του άρθρου 30 του Κανονισμού (ΕΚ)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αριθμ. 339/93 του Συμβουλίου» (L 218).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Κανόνες και όροι για την τοποθέτηση της σήμανσης «CE»</w:t>
      </w:r>
    </w:p>
    <w:p>
      <w:pPr>
        <w:spacing w:before="240" w:after="240"/>
        <w:rPr>
          <w:lang w:val="el" w:eastAsia="el"/>
        </w:rPr>
      </w:pPr>
      <w:r>
        <w:rPr>
          <w:b/>
          <w:bCs/>
          <w:lang w:val="el" w:eastAsia="el"/>
        </w:rPr>
        <w:t>(άρθρο 18 Οδηγίας (ΕΕ) 2019/882)</w:t>
      </w:r>
    </w:p>
    <w:p>
      <w:pPr>
        <w:pStyle w:val="MainText"/>
        <w:spacing w:before="120" w:after="0"/>
        <w:rPr>
          <w:lang w:val="el" w:eastAsia="el"/>
        </w:rPr>
      </w:pPr>
      <w:r>
        <w:rPr>
          <w:b/>
          <w:bCs/>
          <w:lang w:val="el" w:eastAsia="el"/>
        </w:rPr>
        <w:t>1.</w:t>
      </w:r>
      <w:r>
        <w:rPr>
          <w:lang w:val="el" w:eastAsia="el"/>
        </w:rPr>
        <w:t xml:space="preserve"> Η σήμανση «CE» τοποθετείται κατά τρόπο εμφανή, ευανάγνωστο και ανεξίτηλο στο προϊόν ή στην πινακίδα με τα στοιχεία του. Όταν η φύση του προϊόντος δεν το επιτρέπει ή δεν το δικαιολογεί, η σήμανση «CE» τοποθετείται στη συσκευασία του προϊόντος και στα συνοδευτικά έγγραφα.</w:t>
      </w:r>
    </w:p>
    <w:p>
      <w:pPr>
        <w:pStyle w:val="MainText"/>
        <w:spacing w:before="120" w:after="0"/>
        <w:rPr>
          <w:lang w:val="el" w:eastAsia="el"/>
        </w:rPr>
      </w:pPr>
      <w:r>
        <w:rPr>
          <w:b/>
          <w:bCs/>
          <w:lang w:val="el" w:eastAsia="el"/>
        </w:rPr>
        <w:t>2.</w:t>
      </w:r>
      <w:r>
        <w:rPr>
          <w:lang w:val="el" w:eastAsia="el"/>
        </w:rPr>
        <w:t xml:space="preserve"> Η σήμανση «CE» τοποθετείται προτού διατεθεί το προϊόν στην αγορά.</w:t>
      </w:r>
    </w:p>
    <w:p>
      <w:pPr>
        <w:pStyle w:val="MainText"/>
        <w:spacing w:before="120" w:after="0"/>
        <w:rPr>
          <w:lang w:val="el" w:eastAsia="el"/>
        </w:rPr>
      </w:pPr>
      <w:r>
        <w:rPr>
          <w:b/>
          <w:bCs/>
          <w:lang w:val="el" w:eastAsia="el"/>
        </w:rPr>
        <w:t>3.</w:t>
      </w:r>
      <w:r>
        <w:rPr>
          <w:lang w:val="el" w:eastAsia="el"/>
        </w:rPr>
        <w:t xml:space="preserve"> Η αρχή εποπτείας της αγοράς λαμβάνει τα αναγκαία μέτρα σύμφωνα με το Κεφάλαιο ΣΤ’ και το άρθρο 26 για την εξασφάλιση της αποτελεσματικής εφαρμογής του καθεστώτος που διέπει τη σήμανση «CE» και την αντιμετώπιση της αθέμιτης χρήσης της εν λόγω σήμανσης αντίστοιχα.</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ΕΠΟΠΤΕΙΑ ΤΗΣ ΑΓΟΡΑΣ ΠΡΟΪΟΝΤΩΝ ΚΑΙ ΥΠΗΡΕΣΙΩΝ ΚΑΙ ΠΡΟΣΒΑΣΙΜΟΤΗΤΑ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Εποπτεία της αγοράς προϊόντων</w:t>
      </w:r>
    </w:p>
    <w:p>
      <w:pPr>
        <w:spacing w:before="240" w:after="240"/>
        <w:rPr>
          <w:lang w:val="el" w:eastAsia="el"/>
        </w:rPr>
      </w:pPr>
      <w:r>
        <w:rPr>
          <w:b/>
          <w:bCs/>
          <w:lang w:val="el" w:eastAsia="el"/>
        </w:rPr>
        <w:t>(άρθρο 19 Οδηγίας (ΕΕ) 2019/882)</w:t>
      </w:r>
    </w:p>
    <w:p>
      <w:pPr>
        <w:pStyle w:val="MainText"/>
        <w:spacing w:before="120" w:after="0"/>
        <w:rPr>
          <w:lang w:val="el" w:eastAsia="el"/>
        </w:rPr>
      </w:pPr>
      <w:r>
        <w:rPr>
          <w:b/>
          <w:bCs/>
          <w:lang w:val="el" w:eastAsia="el"/>
        </w:rPr>
        <w:t>1.</w:t>
      </w:r>
      <w:r>
        <w:rPr>
          <w:lang w:val="el" w:eastAsia="el"/>
        </w:rPr>
        <w:t xml:space="preserve"> Η παρ. 3 του άρθρου 2, οι παρ. 1, 2, 5 και 6 του άρθρου 10, τα άρθρα 11, 13, 14, 15, 16, 17, 18, 22, 24, 25, 26 και 27, οι παρ. 2 και 3 του άρθρου 28 του Κανονισμού (ΕE) 2019/1020 του Ευρωπαϊκού Κοινοβουλίου και του Συμβουλίου της 20ής Ιουνίου 2019 «για την εποπτεία της αγοράς και τη συμμόρφωση των προϊόντων και για την κατάργηση της Οδηγίας 2004/42/ΕΚ και των κανονισμών (ΕΚ) αριθμ. 765/2008 και (ΕΕ) αριθμ. 305/2011» (L 169) ισχύουν για τα προϊόντα του παρόντος.</w:t>
      </w:r>
    </w:p>
    <w:p>
      <w:pPr>
        <w:pStyle w:val="MainText"/>
        <w:spacing w:before="120" w:after="0"/>
        <w:rPr>
          <w:lang w:val="el" w:eastAsia="el"/>
        </w:rPr>
      </w:pPr>
      <w:r>
        <w:rPr>
          <w:b/>
          <w:bCs/>
          <w:lang w:val="el" w:eastAsia="el"/>
        </w:rPr>
        <w:t>2.</w:t>
      </w:r>
      <w:r>
        <w:rPr>
          <w:lang w:val="el" w:eastAsia="el"/>
        </w:rPr>
        <w:t xml:space="preserve"> Ως αρμόδια αρχή εποπτείας της αγοράς για τα προϊόντα ως προς τις εφαρμοστέες απαιτήσεις προσβασιμό- τητας του παρόντος ορίζεται:</w:t>
      </w:r>
    </w:p>
    <w:p>
      <w:pPr>
        <w:pStyle w:val="StructureList1"/>
        <w:spacing w:before="120" w:after="0"/>
        <w:rPr>
          <w:lang w:val="el" w:eastAsia="el"/>
        </w:rPr>
      </w:pPr>
      <w:r>
        <w:rPr>
          <w:lang w:val="el" w:eastAsia="el"/>
        </w:rPr>
        <w:t>α)</w:t>
      </w:r>
      <w:r>
        <w:rPr>
          <w:lang w:val="en" w:eastAsia="en"/>
        </w:rPr>
        <w:tab/>
      </w:r>
      <w:r>
        <w:rPr>
          <w:lang w:val="el" w:eastAsia="el"/>
        </w:rPr>
        <w:t>η Διεύθυνση Ασφάλειας και Συμμόρφωσης Βιομηχανικών Προϊόντων της Γενικής Γραμματείας Βιομηχανίας του Υπουργείου Ανάπτυξης και Επενδύσεων για τα προϊόντα των περ. α) και ε) της παρ. 1 του άρθρου 3 και για τα τερματικά πληρωμών και τις αυτόματες ταμειακές μηχανές,</w:t>
      </w:r>
    </w:p>
    <w:p>
      <w:pPr>
        <w:pStyle w:val="StructureList1"/>
        <w:spacing w:before="120" w:after="0"/>
        <w:rPr>
          <w:lang w:val="el" w:eastAsia="el"/>
        </w:rPr>
      </w:pPr>
      <w:r>
        <w:rPr>
          <w:lang w:val="el" w:eastAsia="el"/>
        </w:rPr>
        <w:t>β)</w:t>
      </w:r>
      <w:r>
        <w:rPr>
          <w:lang w:val="en" w:eastAsia="en"/>
        </w:rPr>
        <w:tab/>
      </w:r>
      <w:r>
        <w:rPr>
          <w:lang w:val="el" w:eastAsia="el"/>
        </w:rPr>
        <w:t>η Εθνική Επιτροπή Τηλεπικοινωνιών και Ταχυδρομείων για τα προϊόντα της περ. γ) της παρ. 1 του άρθρου 3,</w:t>
      </w:r>
    </w:p>
    <w:p>
      <w:pPr>
        <w:pStyle w:val="StructureList1"/>
        <w:spacing w:before="120" w:after="0"/>
        <w:rPr>
          <w:lang w:val="el" w:eastAsia="el"/>
        </w:rPr>
      </w:pPr>
      <w:r>
        <w:rPr>
          <w:lang w:val="el" w:eastAsia="el"/>
        </w:rPr>
        <w:t>γ)</w:t>
      </w:r>
      <w:r>
        <w:rPr>
          <w:lang w:val="en" w:eastAsia="en"/>
        </w:rPr>
        <w:tab/>
      </w:r>
      <w:r>
        <w:rPr>
          <w:lang w:val="el" w:eastAsia="el"/>
        </w:rPr>
        <w:t>η Γενική Γραμματεία Μεταφορών του Υπουργείου Υποδομών και Μεταφορών από κοινού με τη Διεύθυνση Ασφάλειας και Συμμόρφωσης Βιομηχανικών Προϊόντων της Γενικής Γραμματείας Βιομηχανίας του Υπουργείου Ανάπτυξης και Επενδύσεων για τα προϊόντα των στοιχείων ii), iii) και iv) της υποπερ. ββ) της περ. β) της παρ. 1 του άρθρου 3,</w:t>
      </w:r>
    </w:p>
    <w:p>
      <w:pPr>
        <w:pStyle w:val="StructureList1"/>
        <w:spacing w:before="120" w:after="0"/>
        <w:rPr>
          <w:lang w:val="el" w:eastAsia="el"/>
        </w:rPr>
      </w:pPr>
      <w:r>
        <w:rPr>
          <w:lang w:val="el" w:eastAsia="el"/>
        </w:rPr>
        <w:t>δ)</w:t>
      </w:r>
      <w:r>
        <w:rPr>
          <w:lang w:val="en" w:eastAsia="en"/>
        </w:rPr>
        <w:tab/>
      </w:r>
      <w:r>
        <w:rPr>
          <w:lang w:val="el" w:eastAsia="el"/>
        </w:rPr>
        <w:t>το Εθνικό Συμβούλιο Ραδιοτηλεόρασης από κοινού με τη Διεύθυνση Ασφάλειας και Συμμόρφωσης Βιομηχανικών Προϊόντων της Γενικής Γραμματείας Βιομηχανίας του Υπουργείου Ανάπτυξης και Επενδύσεων για τα προϊόντα της περ. δ) της παρ. 1 του άρθρου 3.</w:t>
      </w:r>
    </w:p>
    <w:p>
      <w:pPr>
        <w:pStyle w:val="MainText"/>
        <w:spacing w:before="120" w:after="0"/>
        <w:rPr>
          <w:lang w:val="el" w:eastAsia="el"/>
        </w:rPr>
      </w:pPr>
      <w:r>
        <w:rPr>
          <w:b/>
          <w:bCs/>
          <w:lang w:val="el" w:eastAsia="el"/>
        </w:rPr>
        <w:t>3.</w:t>
      </w:r>
      <w:r>
        <w:rPr>
          <w:lang w:val="el" w:eastAsia="el"/>
        </w:rPr>
        <w:t xml:space="preserve"> Για την άσκηση εποπτείας της αγοράς των προϊόντων ως προς τις απαιτήσεις του παρόντος συγκροτούνται κλιμάκια ελέγχου κατά τον ετήσιο τακτικό προγραμματισμό, καθώς και μετά από καταγγελία.</w:t>
      </w:r>
    </w:p>
    <w:p>
      <w:pPr>
        <w:pStyle w:val="MainText"/>
        <w:spacing w:before="120" w:after="0"/>
        <w:rPr>
          <w:lang w:val="el" w:eastAsia="el"/>
        </w:rPr>
      </w:pPr>
      <w:r>
        <w:rPr>
          <w:b/>
          <w:bCs/>
          <w:lang w:val="el" w:eastAsia="el"/>
        </w:rPr>
        <w:t>4.</w:t>
      </w:r>
      <w:r>
        <w:rPr>
          <w:lang w:val="el" w:eastAsia="el"/>
        </w:rPr>
        <w:t xml:space="preserve"> Κατά την άσκηση της εποπτείας της αγοράς για προϊόντα, η αρχή εποπτείας της αγοράς, εφόσον ο οικονομικός φορέας έχει επικαλεσθεί το άρθρο 14:</w:t>
      </w:r>
    </w:p>
    <w:p>
      <w:pPr>
        <w:pStyle w:val="StructureList1"/>
        <w:spacing w:before="120" w:after="0"/>
        <w:rPr>
          <w:lang w:val="el" w:eastAsia="el"/>
        </w:rPr>
      </w:pPr>
      <w:r>
        <w:rPr>
          <w:lang w:val="el" w:eastAsia="el"/>
        </w:rPr>
        <w:t>α)</w:t>
      </w:r>
      <w:r>
        <w:rPr>
          <w:lang w:val="en" w:eastAsia="en"/>
        </w:rPr>
        <w:tab/>
      </w:r>
      <w:r>
        <w:rPr>
          <w:lang w:val="el" w:eastAsia="el"/>
        </w:rPr>
        <w:t>ελέγχει ότι η εκτίμηση που αναφέρεται στο άρθρο 14 έχει διενεργηθεί από τον οικονομικό φορέα,</w:t>
      </w:r>
    </w:p>
    <w:p>
      <w:pPr>
        <w:pStyle w:val="StructureList1"/>
        <w:spacing w:before="120" w:after="0"/>
        <w:rPr>
          <w:lang w:val="el" w:eastAsia="el"/>
        </w:rPr>
      </w:pPr>
      <w:r>
        <w:rPr>
          <w:lang w:val="el" w:eastAsia="el"/>
        </w:rPr>
        <w:t>β)</w:t>
      </w:r>
      <w:r>
        <w:rPr>
          <w:lang w:val="en" w:eastAsia="en"/>
        </w:rPr>
        <w:tab/>
      </w:r>
      <w:r>
        <w:rPr>
          <w:lang w:val="el" w:eastAsia="el"/>
        </w:rPr>
        <w:t>επανεξετάζει την εκτίμηση και τα αποτελέσματά της, καθώς και την ορθή χρήση των κριτηρίων που καθορίζονται στο Παράρτημα VI, και</w:t>
      </w:r>
    </w:p>
    <w:p>
      <w:pPr>
        <w:pStyle w:val="StructureList1"/>
        <w:spacing w:before="120" w:after="0"/>
        <w:rPr>
          <w:lang w:val="el" w:eastAsia="el"/>
        </w:rPr>
      </w:pPr>
      <w:r>
        <w:rPr>
          <w:lang w:val="el" w:eastAsia="el"/>
        </w:rPr>
        <w:t>γ)</w:t>
      </w:r>
      <w:r>
        <w:rPr>
          <w:lang w:val="en" w:eastAsia="en"/>
        </w:rPr>
        <w:tab/>
      </w:r>
      <w:r>
        <w:rPr>
          <w:lang w:val="el" w:eastAsia="el"/>
        </w:rPr>
        <w:t>ελέγχει τη συμμόρφωση με τις εφαρμοστέες απαιτήσεις προσβασιμότητας.</w:t>
      </w:r>
    </w:p>
    <w:p>
      <w:pPr>
        <w:pStyle w:val="MainText"/>
        <w:spacing w:before="120" w:after="0"/>
        <w:rPr>
          <w:lang w:val="el" w:eastAsia="el"/>
        </w:rPr>
      </w:pPr>
      <w:r>
        <w:rPr>
          <w:b/>
          <w:bCs/>
          <w:lang w:val="el" w:eastAsia="el"/>
        </w:rPr>
        <w:t>5.</w:t>
      </w:r>
      <w:r>
        <w:rPr>
          <w:lang w:val="el" w:eastAsia="el"/>
        </w:rPr>
        <w:t xml:space="preserve"> Οι πληροφορίες που κατέχει η αρχή εποπτείας της αγοράς σχετικά με τη συμμόρφωση των οικονομικών φορέων προς τις εφαρμοστέες απαιτήσεις προσβασι- μότητας του παρόντος και με την εκτίμηση που προ- βλέπεται στο άρθρο 14 διατίθενται στους καταναλωτές κατόπιν αιτήματος και σε προσβάσιμη μορφή, εκτός αν οι πληροφορίες αυτές δεν είναι δυνατόν να παρέχονται για λόγους εμπιστευτικότητας, όπως προβλέπεται στο άρθρο 17 του Κανονισμού (ΕE) 2019/1020 του Ευρωπαϊκού Κοινοβουλίου και του Συμβουλίου, της 20ής Ιουνίου 2019 «για την εποπτεία της αγοράς και τη συμμόρφωση των προϊόντων και για την κατάργηση της Οδηγίας 2004/42/ΕΚ και των κανονισμών (ΕΚ) αριθμ. 765/2008 και (ΕΕ) αριθμ. 305/2011» (L 169).</w:t>
      </w:r>
    </w:p>
    <w:p>
      <w:pPr>
        <w:pStyle w:val="MainText"/>
        <w:spacing w:before="120" w:after="0"/>
        <w:rPr>
          <w:lang w:val="el" w:eastAsia="el"/>
        </w:rPr>
      </w:pPr>
      <w:r>
        <w:rPr>
          <w:b/>
          <w:bCs/>
          <w:lang w:val="el" w:eastAsia="el"/>
        </w:rPr>
        <w:t>6.</w:t>
      </w:r>
      <w:r>
        <w:rPr>
          <w:lang w:val="el" w:eastAsia="el"/>
        </w:rPr>
        <w:t xml:space="preserve"> Κατά την άσκηση της εποπτείας της αγοράς, η αρχή εποπτείας συνεργάζεται με την αντιπροσωπευτικότερη οργάνωση των ατόμων με αναπηρία.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Διαδικασία για τη μεταχείριση των προϊόντων που δεν συμμορφώνονται με τις εφαρμοστέες απαιτήσεις προσβασιμότητας</w:t>
      </w:r>
    </w:p>
    <w:p>
      <w:pPr>
        <w:spacing w:before="240" w:after="240"/>
        <w:rPr>
          <w:lang w:val="el" w:eastAsia="el"/>
        </w:rPr>
      </w:pPr>
      <w:r>
        <w:rPr>
          <w:b/>
          <w:bCs/>
          <w:lang w:val="el" w:eastAsia="el"/>
        </w:rPr>
        <w:t>(άρθρο 20 Οδηγίας (ΕΕ) 2019/882)</w:t>
      </w:r>
    </w:p>
    <w:p>
      <w:pPr>
        <w:pStyle w:val="MainText"/>
        <w:spacing w:before="120" w:after="0"/>
        <w:rPr>
          <w:lang w:val="el" w:eastAsia="el"/>
        </w:rPr>
      </w:pPr>
      <w:r>
        <w:rPr>
          <w:b/>
          <w:bCs/>
          <w:lang w:val="el" w:eastAsia="el"/>
        </w:rPr>
        <w:t>1.</w:t>
      </w:r>
      <w:r>
        <w:rPr>
          <w:lang w:val="el" w:eastAsia="el"/>
        </w:rPr>
        <w:t xml:space="preserve"> Εάν η αρχή εποπτείας της αγοράς έχει επαρκείς λόγους να πιστεύει ότι ένα προϊόν που καλύπτεται από τον παρόντα δεν συμμορφώνεται με τις εφαρμοστέες απαιτήσεις προσβασιμότητας, τότε διενεργεί αξιολόγηση για το εν λόγω προϊόν. Για τον σκοπό αυτόν, οι σχετικοί οικονομικοί φορείς συνεργάζονται πλήρως με την αρχή επο- πτείας της αγοράς. Εάν, κατά την αξιολόγηση του πρώτου εδαφίου, η αρχή εποπτείας της αγοράς διαπιστώσει ότι το προϊόν δεν συμμορφώνεται προς τις απαιτήσεις που καθορίζονται στον παρόντα, τότε ζητά χωρίς καθυστέρηση από τον σχετικό οικονομικό φορέα να λάβει όλα τα αναγκαία διορθωτικά μέτρα για να φέρει το προϊόν σε συμμόρφωση με τις απαιτήσεις εντός προθεσμίας που ορίζει, ανάλογα προς τη φύση της μη συμμόρφωσης.</w:t>
      </w:r>
    </w:p>
    <w:p>
      <w:pPr>
        <w:spacing w:before="240" w:after="240"/>
        <w:rPr>
          <w:lang w:val="el" w:eastAsia="el"/>
        </w:rPr>
      </w:pPr>
      <w:r>
        <w:rPr>
          <w:lang w:val="el" w:eastAsia="el"/>
        </w:rPr>
        <w:t>Επίσης, απαιτεί από τον σχετικό οικονομικό φορέα να αποσύρει το προϊόν από την αγορά εντός ευλόγου διαστήματος, μόνον εάν ο σχετικός οικονομικός φορέας δεν λάβει τα κατάλληλα διορθωτικά μέτρα εντός της προθεσμίας του τρίτου εδαφίου.</w:t>
      </w:r>
    </w:p>
    <w:p>
      <w:pPr>
        <w:spacing w:before="240" w:after="240"/>
        <w:rPr>
          <w:lang w:val="el" w:eastAsia="el"/>
        </w:rPr>
      </w:pPr>
      <w:r>
        <w:rPr>
          <w:lang w:val="el" w:eastAsia="el"/>
        </w:rPr>
        <w:t>Το άρθρο 16 του Κανονισμού (ΕE) 2019/1020 του Ευρωπαϊκού Κοινοβουλίου και του Συμβουλίου της 20ής Ιουνίου 2019 «για την εποπτεία της αγοράς και τη συμμόρφωση των προϊόντων και για την κατάργηση της Οδηγίας 2004/42/ΕΚ και των κανονισμών (ΕΚ) αριθμ. 765/2008 και (ΕΕ) αριθμ. 305/2011» (L 169) ισχύει για τα μέτρα του τρίτου και του τέταρτου εδαφίου.</w:t>
      </w:r>
    </w:p>
    <w:p>
      <w:pPr>
        <w:pStyle w:val="MainText"/>
        <w:spacing w:before="120" w:after="0"/>
        <w:rPr>
          <w:lang w:val="el" w:eastAsia="el"/>
        </w:rPr>
      </w:pPr>
      <w:r>
        <w:rPr>
          <w:b/>
          <w:bCs/>
          <w:lang w:val="el" w:eastAsia="el"/>
        </w:rPr>
        <w:t>2.</w:t>
      </w:r>
      <w:r>
        <w:rPr>
          <w:lang w:val="el" w:eastAsia="el"/>
        </w:rPr>
        <w:t xml:space="preserve"> Εάν η αρχή εποπτείας της αγοράς διαπιστώνει ότι η μη συμμόρφωση δεν περιορίζεται στην ελληνική επικράτεια, ενημερώνει την Ευρωπαϊκή Επιτροπή και τα άλλα κράτη μέλη της Ευρωπαϊκής Ένωσης για τα αποτελέσματα της αξιολόγησης και για τα μέτρα που ζήτησε να λάβει ο οικονομικός φορέας.</w:t>
      </w:r>
    </w:p>
    <w:p>
      <w:pPr>
        <w:pStyle w:val="MainText"/>
        <w:spacing w:before="120" w:after="0"/>
        <w:rPr>
          <w:lang w:val="el" w:eastAsia="el"/>
        </w:rPr>
      </w:pPr>
      <w:r>
        <w:rPr>
          <w:b/>
          <w:bCs/>
          <w:lang w:val="el" w:eastAsia="el"/>
        </w:rPr>
        <w:t>3.</w:t>
      </w:r>
      <w:r>
        <w:rPr>
          <w:lang w:val="el" w:eastAsia="el"/>
        </w:rPr>
        <w:t xml:space="preserve"> Ο οικονομικός φορέας διασφαλίζει ότι λαμβάνονται όλα τα ενδεικνυόμενα διορθωτικά μέτρα για όλα τα προϊόντα που έχει θέσει σε κυκλοφορία στην αγορά σε όλη την Ευρωπαϊκή Ένωση.</w:t>
      </w:r>
    </w:p>
    <w:p>
      <w:pPr>
        <w:pStyle w:val="MainText"/>
        <w:spacing w:before="120" w:after="0"/>
        <w:rPr>
          <w:lang w:val="el" w:eastAsia="el"/>
        </w:rPr>
      </w:pPr>
      <w:r>
        <w:rPr>
          <w:b/>
          <w:bCs/>
          <w:lang w:val="el" w:eastAsia="el"/>
        </w:rPr>
        <w:t>4.</w:t>
      </w:r>
      <w:r>
        <w:rPr>
          <w:lang w:val="el" w:eastAsia="el"/>
        </w:rPr>
        <w:t xml:space="preserve"> Εάν ο σχετικός οικονομικός φορέας, εντός του χρονικού διαστήματος του τρίτου εδαφίου της παρ. 1, δεν λάβει τα αναγκαία διορθωτικά μέτρα, τότε η αρχή εποπτείας της αγοράς λαμβάνει όλα τα κατάλληλα προσωρινά μέτρα για να απαγορεύσει ή να περιορίσει τη διαθεσιμότητα του προϊόντος στην αγορά ή να αποσύρει το προϊόν από την αγορά.</w:t>
      </w:r>
    </w:p>
    <w:p>
      <w:pPr>
        <w:spacing w:before="240" w:after="240"/>
        <w:rPr>
          <w:lang w:val="el" w:eastAsia="el"/>
        </w:rPr>
      </w:pPr>
      <w:r>
        <w:rPr>
          <w:lang w:val="el" w:eastAsia="el"/>
        </w:rPr>
        <w:t>Η αρχή εποπτείας της αγοράς ενημερώνει αμέσως την Ευρωπαϊκή Επιτροπή και τα άλλα κράτη μέλη της Ευρωπαϊκής Ένωσης για τα μέτρα αυτά.</w:t>
      </w:r>
    </w:p>
    <w:p>
      <w:pPr>
        <w:pStyle w:val="MainText"/>
        <w:spacing w:before="120" w:after="0"/>
        <w:rPr>
          <w:lang w:val="el" w:eastAsia="el"/>
        </w:rPr>
      </w:pPr>
      <w:r>
        <w:rPr>
          <w:b/>
          <w:bCs/>
          <w:lang w:val="el" w:eastAsia="el"/>
        </w:rPr>
        <w:t>5.</w:t>
      </w:r>
      <w:r>
        <w:rPr>
          <w:lang w:val="el" w:eastAsia="el"/>
        </w:rPr>
        <w:t xml:space="preserve"> Οι πληροφορίες που αναφέρονται στο δεύτερο εδάφιο της παρ. 4 περιλαμβάνουν όλες τις διαθέσιμες λεπτομέρειες, ιδίως τα στοιχεία που απαιτούνται για την ταυτοποίηση του μη συμμορφούμενου προϊόντος, την καταγωγή του, τη φύση της εικαζόμενης μη συμμόρφωσης και τις απαιτήσεις προσβασιμότητας με τις οποίες δεν συμμορφώνεται το προϊόν, τη φύση και τη διάρκεια των μέτρων που ελήφθησαν, καθώς και τα επιχειρήματα που προβάλλει ο σχετικός οικονομικός φορέας. Ειδικότερα, η αρχή εποπτείας αναφέρει εάν η έλλειψη συμμόρφωσης οφείλεται στο ότι:</w:t>
      </w:r>
    </w:p>
    <w:p>
      <w:pPr>
        <w:pStyle w:val="StructureList1"/>
        <w:spacing w:before="120" w:after="0"/>
        <w:rPr>
          <w:lang w:val="el" w:eastAsia="el"/>
        </w:rPr>
      </w:pPr>
      <w:r>
        <w:rPr>
          <w:lang w:val="el" w:eastAsia="el"/>
        </w:rPr>
        <w:t>α)</w:t>
      </w:r>
      <w:r>
        <w:rPr>
          <w:lang w:val="en" w:eastAsia="en"/>
        </w:rPr>
        <w:tab/>
      </w:r>
      <w:r>
        <w:rPr>
          <w:lang w:val="el" w:eastAsia="el"/>
        </w:rPr>
        <w:t>το προϊόν δεν πληροί τις εφαρμοστέες απαιτήσεις προσβασιμότητας, ή</w:t>
      </w:r>
    </w:p>
    <w:p>
      <w:pPr>
        <w:pStyle w:val="StructureList1"/>
        <w:spacing w:before="120" w:after="0"/>
        <w:rPr>
          <w:lang w:val="el" w:eastAsia="el"/>
        </w:rPr>
      </w:pPr>
      <w:r>
        <w:rPr>
          <w:lang w:val="el" w:eastAsia="el"/>
        </w:rPr>
        <w:t>β)</w:t>
      </w:r>
      <w:r>
        <w:rPr>
          <w:lang w:val="en" w:eastAsia="en"/>
        </w:rPr>
        <w:tab/>
      </w:r>
      <w:r>
        <w:rPr>
          <w:lang w:val="el" w:eastAsia="el"/>
        </w:rPr>
        <w:t>υπάρχουν ελλείψεις στα εναρμονισμένα πρότυπα ή στις τεχνικές προδιαγραφές που αναφέρονται στο άρθρο 15 όπου βασίζεται το τεκμήριο της συμμόρφωσης.</w:t>
      </w:r>
    </w:p>
    <w:p>
      <w:pPr>
        <w:pStyle w:val="MainText"/>
        <w:spacing w:before="120" w:after="0"/>
        <w:rPr>
          <w:lang w:val="el" w:eastAsia="el"/>
        </w:rPr>
      </w:pPr>
      <w:r>
        <w:rPr>
          <w:b/>
          <w:bCs/>
          <w:lang w:val="el" w:eastAsia="el"/>
        </w:rPr>
        <w:t>6.</w:t>
      </w:r>
      <w:r>
        <w:rPr>
          <w:lang w:val="el" w:eastAsia="el"/>
        </w:rPr>
        <w:t xml:space="preserve"> Η αρχή εποπτείας της αγοράς ενημερώνει αμέσως την Ευρωπαϊκή Επιτροπή και τα άλλα κράτη μέλη της Ευρωπαϊκής Ένωσης για τα μέτρα που έλαβε και παρέχει άλλες πρόσθετες πληροφορίες που ενδεχομένως έχει όσον αφορά στη μη συμμόρφωση του προϊόντος, και, σε περίπτωση διαφωνίας με το κοινοποιηθέν μέτρο, για τις τυχόν αντιρρήσεις της.</w:t>
      </w:r>
    </w:p>
    <w:p>
      <w:pPr>
        <w:pStyle w:val="MainText"/>
        <w:spacing w:before="120" w:after="0"/>
        <w:rPr>
          <w:lang w:val="el" w:eastAsia="el"/>
        </w:rPr>
      </w:pPr>
      <w:r>
        <w:rPr>
          <w:b/>
          <w:bCs/>
          <w:lang w:val="el" w:eastAsia="el"/>
        </w:rPr>
        <w:t>7.</w:t>
      </w:r>
      <w:r>
        <w:rPr>
          <w:lang w:val="el" w:eastAsia="el"/>
        </w:rPr>
        <w:t xml:space="preserve"> Εάν, εντός τριών (3) μηνών από τη λήψη των πληροφοριών του δεύτερου εδαφίου της παρ. 4, δεν έχει διατυπωθεί αντίρρηση από άλλο κράτος μέλος ή από την Ευρωπαϊκή Επιτροπή σε σχέση με προσωρινό μέτρο που έχει λάβει η αρμόδια αρχή, το μέτρο θεωρείται δικαιολογημένο.</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Τυπική μη συμμόρφωση</w:t>
      </w:r>
    </w:p>
    <w:p>
      <w:pPr>
        <w:spacing w:before="240" w:after="240"/>
        <w:rPr>
          <w:lang w:val="el" w:eastAsia="el"/>
        </w:rPr>
      </w:pPr>
      <w:r>
        <w:rPr>
          <w:b/>
          <w:bCs/>
          <w:lang w:val="el" w:eastAsia="el"/>
        </w:rPr>
        <w:t>(άρθρο 22 Οδηγίας (ΕΕ) 2019/882)</w:t>
      </w:r>
    </w:p>
    <w:p>
      <w:pPr>
        <w:pStyle w:val="MainText"/>
        <w:spacing w:before="120" w:after="0"/>
        <w:rPr>
          <w:lang w:val="el" w:eastAsia="el"/>
        </w:rPr>
      </w:pPr>
      <w:r>
        <w:rPr>
          <w:b/>
          <w:bCs/>
          <w:lang w:val="el" w:eastAsia="el"/>
        </w:rPr>
        <w:t>1.</w:t>
      </w:r>
      <w:r>
        <w:rPr>
          <w:lang w:val="el" w:eastAsia="el"/>
        </w:rPr>
        <w:t xml:space="preserve"> Με την επιφύλαξη του άρθρου 20, απαιτείται από τον σχετικό οικονομικό φορέα να θέσει τέλος στη μη συμμόρφωση, όταν διαπιστωθεί ένα από τα ακόλουθα: α) η σήμανση «CE» έχει τεθεί κατά παράβαση του άρθρου 30 του Κανονισμού (ΕΚ) 765/2008 του Ευρωπαϊκού Κοινοβουλίου και του Συμβουλίου της 9ης Ιουλίου 2008 «για τον καθορισμό των απαιτήσεων διαπίστευσης και εποπτείας της αγοράς όσον αφορά την εμπορία των προϊόντων και για την κατάργηση του κανονισμού (ΕΟΚ) αριθμ. 339/93 του Συμβουλίου» (L 218) ή του άρθρου 18 του παρόντος,</w:t>
      </w:r>
    </w:p>
    <w:p>
      <w:pPr>
        <w:pStyle w:val="StructureList1"/>
        <w:spacing w:before="120" w:after="0"/>
        <w:rPr>
          <w:lang w:val="el" w:eastAsia="el"/>
        </w:rPr>
      </w:pPr>
      <w:r>
        <w:rPr>
          <w:lang w:val="el" w:eastAsia="el"/>
        </w:rPr>
        <w:t>β)</w:t>
      </w:r>
      <w:r>
        <w:rPr>
          <w:lang w:val="en" w:eastAsia="en"/>
        </w:rPr>
        <w:tab/>
      </w:r>
      <w:r>
        <w:rPr>
          <w:lang w:val="el" w:eastAsia="el"/>
        </w:rPr>
        <w:t>η σήμανση «CE» δεν έχει τοποθετηθεί,</w:t>
      </w:r>
    </w:p>
    <w:p>
      <w:pPr>
        <w:pStyle w:val="StructureList1"/>
        <w:spacing w:before="120" w:after="0"/>
        <w:rPr>
          <w:lang w:val="el" w:eastAsia="el"/>
        </w:rPr>
      </w:pPr>
      <w:r>
        <w:rPr>
          <w:lang w:val="el" w:eastAsia="el"/>
        </w:rPr>
        <w:t>γ)</w:t>
      </w:r>
      <w:r>
        <w:rPr>
          <w:lang w:val="en" w:eastAsia="en"/>
        </w:rPr>
        <w:tab/>
      </w:r>
      <w:r>
        <w:rPr>
          <w:lang w:val="el" w:eastAsia="el"/>
        </w:rPr>
        <w:t>η δήλωση συμμόρφωσης ΕΕ δεν έχει καταρτιστεί ή δεν έχει καταρτιστεί σωστά,</w:t>
      </w:r>
    </w:p>
    <w:p>
      <w:pPr>
        <w:pStyle w:val="StructureList1"/>
        <w:spacing w:before="120" w:after="0"/>
        <w:rPr>
          <w:lang w:val="el" w:eastAsia="el"/>
        </w:rPr>
      </w:pPr>
      <w:r>
        <w:rPr>
          <w:lang w:val="el" w:eastAsia="el"/>
        </w:rPr>
        <w:t>δ)</w:t>
      </w:r>
      <w:r>
        <w:rPr>
          <w:lang w:val="en" w:eastAsia="en"/>
        </w:rPr>
        <w:tab/>
      </w:r>
      <w:r>
        <w:rPr>
          <w:lang w:val="el" w:eastAsia="el"/>
        </w:rPr>
        <w:t>ο τεχνικός φάκελος είτε δεν είναι διαθέσιμος, είτε δεν είναι πλήρης,</w:t>
      </w:r>
    </w:p>
    <w:p>
      <w:pPr>
        <w:pStyle w:val="StructureList1"/>
        <w:spacing w:before="120" w:after="0"/>
        <w:rPr>
          <w:lang w:val="el" w:eastAsia="el"/>
        </w:rPr>
      </w:pPr>
      <w:r>
        <w:rPr>
          <w:lang w:val="el" w:eastAsia="el"/>
        </w:rPr>
        <w:t>ε)</w:t>
      </w:r>
      <w:r>
        <w:rPr>
          <w:lang w:val="en" w:eastAsia="en"/>
        </w:rPr>
        <w:tab/>
      </w:r>
      <w:r>
        <w:rPr>
          <w:lang w:val="el" w:eastAsia="el"/>
        </w:rPr>
        <w:t>οι πληροφορίες που αναφέρονται στην παρ. 6 του άρθρου 7 ή στην παρ. 4 του άρθρου 9 απουσιάζουν, είναι λανθασμένες ή ελλιπείς,</w:t>
      </w:r>
    </w:p>
    <w:p>
      <w:pPr>
        <w:pStyle w:val="StructureList1"/>
        <w:spacing w:before="120" w:after="0"/>
        <w:rPr>
          <w:lang w:val="el" w:eastAsia="el"/>
        </w:rPr>
      </w:pPr>
      <w:r>
        <w:rPr>
          <w:lang w:val="el" w:eastAsia="el"/>
        </w:rPr>
        <w:t>στ)</w:t>
      </w:r>
      <w:r>
        <w:rPr>
          <w:lang w:val="en" w:eastAsia="en"/>
        </w:rPr>
        <w:tab/>
      </w:r>
      <w:r>
        <w:rPr>
          <w:lang w:val="el" w:eastAsia="el"/>
        </w:rPr>
        <w:t>δεν πληρούται οποιαδήποτε άλλη από τις διοικητικές απαιτήσεις που προβλέπονται στο άρθρο 7 ή στο άρθρο 9.</w:t>
      </w:r>
    </w:p>
    <w:p>
      <w:pPr>
        <w:pStyle w:val="MainText"/>
        <w:spacing w:before="120" w:after="0"/>
        <w:rPr>
          <w:lang w:val="el" w:eastAsia="el"/>
        </w:rPr>
      </w:pPr>
      <w:r>
        <w:rPr>
          <w:b/>
          <w:bCs/>
          <w:lang w:val="el" w:eastAsia="el"/>
        </w:rPr>
        <w:t>2.</w:t>
      </w:r>
      <w:r>
        <w:rPr>
          <w:lang w:val="el" w:eastAsia="el"/>
        </w:rPr>
        <w:t xml:space="preserve"> Εάν η μη συμμόρφωση της παρ. 1 εξακολουθήσει να υφίσταται, λαμβάνονται όλα τα δέοντα μέτρα για τον περιορισμό ή την απαγόρευση της διαθεσιμότητας στην αγορά του προϊόντος ή για την εξασφάλιση της απόσυρσής του από την αγορά.</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Συμμόρφωση των υπηρεσιών που παρέχονται από ιδιωτικούς και δημόσιους φορείς</w:t>
      </w:r>
    </w:p>
    <w:p>
      <w:pPr>
        <w:spacing w:before="240" w:after="240"/>
        <w:rPr>
          <w:lang w:val="el" w:eastAsia="el"/>
        </w:rPr>
      </w:pPr>
      <w:r>
        <w:rPr>
          <w:b/>
          <w:bCs/>
          <w:lang w:val="el" w:eastAsia="el"/>
        </w:rPr>
        <w:t>(άρθρο 23 Οδηγίας (ΕΕ) 2019/882)</w:t>
      </w:r>
    </w:p>
    <w:p>
      <w:pPr>
        <w:pStyle w:val="MainText"/>
        <w:spacing w:before="120" w:after="0"/>
        <w:rPr>
          <w:lang w:val="el" w:eastAsia="el"/>
        </w:rPr>
      </w:pPr>
      <w:r>
        <w:rPr>
          <w:b/>
          <w:bCs/>
          <w:lang w:val="el" w:eastAsia="el"/>
        </w:rPr>
        <w:t>1.</w:t>
      </w:r>
      <w:r>
        <w:rPr>
          <w:lang w:val="el" w:eastAsia="el"/>
        </w:rPr>
        <w:t xml:space="preserve"> Σύμφωνα με την παρ. 4 του άρθρου 193 και την παρ. 1 του άρθρου 219 του ν. 4727/2020 (Α’ 184), θεσπίζονται, υλοποιούνται και επικαιροποιούνται τακτικά επαρκείς διαδικασίες προκειμένου:</w:t>
      </w:r>
    </w:p>
    <w:p>
      <w:pPr>
        <w:pStyle w:val="StructureList1"/>
        <w:spacing w:before="120" w:after="0"/>
        <w:rPr>
          <w:lang w:val="el" w:eastAsia="el"/>
        </w:rPr>
      </w:pPr>
      <w:r>
        <w:rPr>
          <w:lang w:val="el" w:eastAsia="el"/>
        </w:rPr>
        <w:t>α)</w:t>
      </w:r>
      <w:r>
        <w:rPr>
          <w:lang w:val="en" w:eastAsia="en"/>
        </w:rPr>
        <w:tab/>
      </w:r>
      <w:r>
        <w:rPr>
          <w:lang w:val="el" w:eastAsia="el"/>
        </w:rPr>
        <w:t>να ελέγχεται η συμμόρφωση των υπηρεσιών με τις απαιτήσεις του παρόντος, καθώς και η εκτίμηση που αναφέρεται στο άρθρο 14 και για την οποία εφαρμόζεται αναλογικά η παρ. 2 του άρθρου 19,</w:t>
      </w:r>
    </w:p>
    <w:p>
      <w:pPr>
        <w:pStyle w:val="StructureList1"/>
        <w:spacing w:before="120" w:after="0"/>
        <w:rPr>
          <w:lang w:val="el" w:eastAsia="el"/>
        </w:rPr>
      </w:pPr>
      <w:r>
        <w:rPr>
          <w:lang w:val="el" w:eastAsia="el"/>
        </w:rPr>
        <w:t>β)</w:t>
      </w:r>
      <w:r>
        <w:rPr>
          <w:lang w:val="en" w:eastAsia="en"/>
        </w:rPr>
        <w:tab/>
      </w:r>
      <w:r>
        <w:rPr>
          <w:lang w:val="el" w:eastAsia="el"/>
        </w:rPr>
        <w:t>να δίνεται συνέχεια στις καταγγελίες ή τις εκθέσεις που υποβάλλονται σχετικά με θέματα που αφορούν στη μη συμμόρφωση των υπηρεσιών με τις απαιτήσεις προ- σβασιμότητας του παρόντος,</w:t>
      </w:r>
    </w:p>
    <w:p>
      <w:pPr>
        <w:pStyle w:val="StructureList1"/>
        <w:spacing w:before="120" w:after="0"/>
        <w:rPr>
          <w:lang w:val="el" w:eastAsia="el"/>
        </w:rPr>
      </w:pPr>
      <w:r>
        <w:rPr>
          <w:lang w:val="el" w:eastAsia="el"/>
        </w:rPr>
        <w:t>γ)</w:t>
      </w:r>
      <w:r>
        <w:rPr>
          <w:lang w:val="en" w:eastAsia="en"/>
        </w:rPr>
        <w:tab/>
      </w:r>
      <w:r>
        <w:rPr>
          <w:lang w:val="el" w:eastAsia="el"/>
        </w:rPr>
        <w:t>να επαληθεύεται ότι ο οικονομικός φορέας έχει λάβει τα αναγκαία διορθωτικά μέτρα.</w:t>
      </w:r>
    </w:p>
    <w:p>
      <w:pPr>
        <w:pStyle w:val="MainText"/>
        <w:spacing w:before="120" w:after="0"/>
        <w:rPr>
          <w:lang w:val="el" w:eastAsia="el"/>
        </w:rPr>
      </w:pPr>
      <w:r>
        <w:rPr>
          <w:b/>
          <w:bCs/>
          <w:lang w:val="el" w:eastAsia="el"/>
        </w:rPr>
        <w:t>2.</w:t>
      </w:r>
      <w:r>
        <w:rPr>
          <w:lang w:val="el" w:eastAsia="el"/>
        </w:rPr>
        <w:t xml:space="preserve"> Αρμόδια αρχή για την παρακολούθηση και τον έλεγχο της συμμόρφωσης των υπηρεσιών στον τομέα των ηλεκτρονικών επικοινωνιών είναι η Εθνική Επιτροπή Τηλεπικοινωνιών και Ταχυδρομείων (ΕΕΤΤ), σύμφωνα με το άρθρο 113 του ν. 4727/2020.</w:t>
      </w:r>
    </w:p>
    <w:p>
      <w:pPr>
        <w:spacing w:before="240" w:after="240"/>
        <w:rPr>
          <w:lang w:val="el" w:eastAsia="el"/>
        </w:rPr>
      </w:pPr>
      <w:r>
        <w:rPr>
          <w:lang w:val="el" w:eastAsia="el"/>
        </w:rPr>
        <w:t>Η ΕΕΤΤ εξασφαλίζει ότι το κοινό είναι ενήμερο για την ύπαρξη, τις αρμοδιότητες, την ταυτότητα, το έργο και τις αποφάσεις της και καθιστά αυτές τις πληροφορίες διαθέσιμες σε προσβάσιμη μορφή, εφόσον ζητηθεί.</w:t>
      </w:r>
    </w:p>
    <w:p>
      <w:pPr>
        <w:pStyle w:val="MainText"/>
        <w:spacing w:before="120" w:after="0"/>
        <w:rPr>
          <w:lang w:val="el" w:eastAsia="el"/>
        </w:rPr>
      </w:pPr>
      <w:r>
        <w:rPr>
          <w:b/>
          <w:bCs/>
          <w:lang w:val="el" w:eastAsia="el"/>
        </w:rPr>
        <w:t>3.</w:t>
      </w:r>
      <w:r>
        <w:rPr>
          <w:lang w:val="el" w:eastAsia="el"/>
        </w:rPr>
        <w:t xml:space="preserve"> Σε ό,τι αφορά την παροχή υπηρεσιών που διατίθενται μέσω των ιστοτόπων και των εφαρμογών για φορητές συσκευές των οργανισμών του δημόσιου τομέα, εφαρμόζεται το Κεφάλαιο Η’ του ν. 4727/2020 και συγκεκριμένα:</w:t>
      </w:r>
    </w:p>
    <w:p>
      <w:pPr>
        <w:pStyle w:val="StructureList1"/>
        <w:spacing w:before="120" w:after="0"/>
        <w:rPr>
          <w:lang w:val="el" w:eastAsia="el"/>
        </w:rPr>
      </w:pPr>
      <w:r>
        <w:rPr>
          <w:lang w:val="el" w:eastAsia="el"/>
        </w:rPr>
        <w:t>α)</w:t>
      </w:r>
      <w:r>
        <w:rPr>
          <w:lang w:val="en" w:eastAsia="en"/>
        </w:rPr>
        <w:tab/>
      </w:r>
      <w:r>
        <w:rPr>
          <w:lang w:val="el" w:eastAsia="el"/>
        </w:rPr>
        <w:t>ως προς τη συμμόρφωση των υπηρεσιών με τις απαιτήσεις του παρόντος νόμου, ισχύει το τεκμήριο συμμόρφωσης με τις απαιτήσεις προσβασιμότητας, κατ’εφαρμογή του άρθρου 41 του ν. 4727/2020,</w:t>
      </w:r>
    </w:p>
    <w:p>
      <w:pPr>
        <w:pStyle w:val="StructureList1"/>
        <w:spacing w:before="120" w:after="0"/>
        <w:rPr>
          <w:lang w:val="el" w:eastAsia="el"/>
        </w:rPr>
      </w:pPr>
      <w:r>
        <w:rPr>
          <w:lang w:val="el" w:eastAsia="el"/>
        </w:rPr>
        <w:t>β)</w:t>
      </w:r>
      <w:r>
        <w:rPr>
          <w:lang w:val="en" w:eastAsia="en"/>
        </w:rPr>
        <w:tab/>
      </w:r>
      <w:r>
        <w:rPr>
          <w:lang w:val="el" w:eastAsia="el"/>
        </w:rPr>
        <w:t>ως προς το σκέλος υποβολής των καταγγελιών, ισχύει η δυνατότητα υποβολής παρατηρήσεων, αιτημάτων για παροχή πληροφοριών και αναφορών, κατ’ εφαρμογή του άρθρου 45 του ν. 4727/2020,</w:t>
      </w:r>
    </w:p>
    <w:p>
      <w:pPr>
        <w:pStyle w:val="StructureList1"/>
        <w:spacing w:before="120" w:after="0"/>
        <w:rPr>
          <w:lang w:val="el" w:eastAsia="el"/>
        </w:rPr>
      </w:pPr>
      <w:r>
        <w:rPr>
          <w:lang w:val="el" w:eastAsia="el"/>
        </w:rPr>
        <w:t>γ)</w:t>
      </w:r>
      <w:r>
        <w:rPr>
          <w:lang w:val="en" w:eastAsia="en"/>
        </w:rPr>
        <w:tab/>
      </w:r>
      <w:r>
        <w:rPr>
          <w:lang w:val="el" w:eastAsia="el"/>
        </w:rPr>
        <w:t>ως προς την παρακολούθηση και την υποβολή εκθέσεων αναφορικά με τη συμμόρφωση, εφαρμόζεται το άρθρο 47 του ν. 4727/2020,</w:t>
      </w:r>
    </w:p>
    <w:p>
      <w:pPr>
        <w:pStyle w:val="StructureList1"/>
        <w:spacing w:before="120" w:after="0"/>
        <w:rPr>
          <w:lang w:val="el" w:eastAsia="el"/>
        </w:rPr>
      </w:pPr>
      <w:r>
        <w:rPr>
          <w:lang w:val="el" w:eastAsia="el"/>
        </w:rPr>
        <w:t>δ)</w:t>
      </w:r>
      <w:r>
        <w:rPr>
          <w:lang w:val="en" w:eastAsia="en"/>
        </w:rPr>
        <w:tab/>
      </w:r>
      <w:r>
        <w:rPr>
          <w:lang w:val="el" w:eastAsia="el"/>
        </w:rPr>
        <w:t>ως προς την επιμόρφωση υπαλλήλων και την ευ- αισθητοποίηση του κοινού, εφαρμόζεται το άρθρο 46 του ν. 4727/2020.</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Προσβασιμότητα τραπεζικών</w:t>
      </w:r>
    </w:p>
    <w:p>
      <w:pPr>
        <w:spacing w:before="240" w:after="240"/>
        <w:rPr>
          <w:lang w:val="el" w:eastAsia="el"/>
        </w:rPr>
      </w:pPr>
      <w:r>
        <w:rPr>
          <w:b/>
          <w:bCs/>
          <w:lang w:val="el" w:eastAsia="el"/>
        </w:rPr>
        <w:t>και χρηματοπιστωτικών υπηρεσιών</w:t>
      </w:r>
    </w:p>
    <w:p>
      <w:pPr>
        <w:spacing w:before="240" w:after="240"/>
        <w:rPr>
          <w:lang w:val="el" w:eastAsia="el"/>
        </w:rPr>
      </w:pPr>
      <w:r>
        <w:rPr>
          <w:lang w:val="el" w:eastAsia="el"/>
        </w:rPr>
        <w:t>Τα τραπεζικά και χρηματοπιστωτικά ιδρύματα και όσες επιχειρήσεις παρέχουν τραπεζικές και χρηματοπιστωτικές υπηρεσίες προσαρμόζουν τις διαδικασίες και τα έγγραφά τους για τις υπηρεσίες της περ. 28 του άρθρου 4, ώστε να ικανοποιούν πλήρως τις απαιτήσεις προσβα- σιμότητας των Τμημάτων ΙΙΙ και ΙV του Παραρτήματος Ι και τα κριτήρια λειτουργικής απόδοσης του Τμήματος VIII του ίδιου Παραρτήματος.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και προστασία των καταναλωτών από άμεσες και έμμεσες πολιτικές διακριτικής τιμολόγησης</w:t>
      </w:r>
    </w:p>
    <w:p>
      <w:pPr>
        <w:spacing w:before="240" w:after="240"/>
        <w:rPr>
          <w:lang w:val="el" w:eastAsia="el"/>
        </w:rPr>
      </w:pPr>
      <w:r>
        <w:rPr>
          <w:lang w:val="el" w:eastAsia="el"/>
        </w:rPr>
        <w:t>Δεν επιτρέπεται η εφαρμογή δυσμενούς διακριτικής τιμολογιακής πολιτικής ή η πάσης φύσεως επιλεκτική οικονομική επιβάρυνση, έναντι όσων καταναλωτών η πρόσβαση βελτιώνεται ή μεγιστοποιείται, ως αποτέλεσμα της συμμόρφωσης των επιχειρήσεων και των τραπεζικών και χρηματοπιστωτικών ιδρυμάτων στις προβλέψεις του παρόντος.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Προσβασιμότητα δυνάμει ενωσιακών πράξεων</w:t>
      </w:r>
    </w:p>
    <w:p>
      <w:pPr>
        <w:spacing w:before="240" w:after="240"/>
        <w:rPr>
          <w:lang w:val="el" w:eastAsia="el"/>
        </w:rPr>
      </w:pPr>
      <w:r>
        <w:rPr>
          <w:b/>
          <w:bCs/>
          <w:lang w:val="el" w:eastAsia="el"/>
        </w:rPr>
        <w:t>(άρθρα 24 και 25 Οδηγίας (ΕΕ) 2019/882)</w:t>
      </w:r>
    </w:p>
    <w:p>
      <w:pPr>
        <w:pStyle w:val="MainText"/>
        <w:spacing w:before="120" w:after="0"/>
        <w:rPr>
          <w:lang w:val="el" w:eastAsia="el"/>
        </w:rPr>
      </w:pPr>
      <w:r>
        <w:rPr>
          <w:b/>
          <w:bCs/>
          <w:lang w:val="el" w:eastAsia="el"/>
        </w:rPr>
        <w:t>1.</w:t>
      </w:r>
      <w:r>
        <w:rPr>
          <w:lang w:val="el" w:eastAsia="el"/>
        </w:rPr>
        <w:t xml:space="preserve"> Όσον αφορά στα προϊόντα και τις υπηρεσίες που αναφέρονται στο άρθρο 3, οι απαιτήσεις προσβασιμό- τητας που ορίζονται στο Παράρτημα I συνιστούν υποχρεωτικές απαιτήσεις προσβασιμότητας σύμφωνα με την παρ. 1 του άρθρου 54 και την παρ. 1 του άρθρου 282 του ν. 4412/2016 (Α’ 149).</w:t>
      </w:r>
    </w:p>
    <w:p>
      <w:pPr>
        <w:pStyle w:val="MainText"/>
        <w:spacing w:before="120" w:after="0"/>
        <w:rPr>
          <w:lang w:val="el" w:eastAsia="el"/>
        </w:rPr>
      </w:pPr>
      <w:r>
        <w:rPr>
          <w:b/>
          <w:bCs/>
          <w:lang w:val="el" w:eastAsia="el"/>
        </w:rPr>
        <w:t>2.</w:t>
      </w:r>
      <w:r>
        <w:rPr>
          <w:lang w:val="el" w:eastAsia="el"/>
        </w:rPr>
        <w:t xml:space="preserve"> Κάθε προϊόν ή υπηρεσία, των οποίων τα χαρακτηριστικά, τα στοιχεία ή οι λειτουργίες συμμορφώνονται με τις απαιτήσεις προσβασιμότητας που ορίζονται στο Παράρτημα I, σύμφωνα με το Τμήμα VI αυτού, τεκμαίρε- ται ότι πληροί τις σχετικές υποχρεώσεις που ορίζονται σε άλλες ενωσιακές πράξεις, εκτός από τον παρόντα, όσον αφορά την προσβασιμότητα, για τα εν λόγω χαρακτηριστικά, στοιχεία ή λειτουργίες εκτός αν προβλέπεται διαφορετικά στις εν λόγω άλλες πράξεις.</w:t>
      </w:r>
    </w:p>
    <w:p>
      <w:pPr>
        <w:pStyle w:val="MainText"/>
        <w:spacing w:before="120" w:after="0"/>
        <w:rPr>
          <w:lang w:val="el" w:eastAsia="el"/>
        </w:rPr>
      </w:pPr>
      <w:r>
        <w:rPr>
          <w:b/>
          <w:bCs/>
          <w:lang w:val="el" w:eastAsia="el"/>
        </w:rPr>
        <w:t>3.</w:t>
      </w:r>
      <w:r>
        <w:rPr>
          <w:lang w:val="el" w:eastAsia="el"/>
        </w:rPr>
        <w:t xml:space="preserve"> Η συμμόρφωση με εναρμονισμένα πρότυπα και τεχνικές προδιαγραφές ή τμήματα αυτών που θεσπίζονται σύμφωνα με το άρθρο 15 δημιουργεί το τεκμήριο συμμόρφωσης της παρ. 2, στο μέτρο που τα εν λόγω πρότυπα και οι τεχνικές προδιαγραφές ή τα τμήματά τους πληρούν τις απαιτήσεις προσβασιμότητας του παρόντος.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b/>
          <w:bCs/>
          <w:lang w:val="el" w:eastAsia="el"/>
        </w:rPr>
        <w:t>(άρθρο 30 Οδηγίας (ΕΕ) 2019/882)</w:t>
      </w:r>
    </w:p>
    <w:p>
      <w:pPr>
        <w:pStyle w:val="MainText"/>
        <w:spacing w:before="120" w:after="0"/>
        <w:rPr>
          <w:lang w:val="el" w:eastAsia="el"/>
        </w:rPr>
      </w:pPr>
      <w:r>
        <w:rPr>
          <w:b/>
          <w:bCs/>
          <w:lang w:val="el" w:eastAsia="el"/>
        </w:rPr>
        <w:t>1.</w:t>
      </w:r>
      <w:r>
        <w:rPr>
          <w:lang w:val="el" w:eastAsia="el"/>
        </w:rPr>
        <w:t xml:space="preserve"> Στους παραβάτες του παρόντος, επιβάλλονται διοικητικές κυρώσεις, με βάση την αρχή της αναλογικότητας.</w:t>
      </w:r>
    </w:p>
    <w:p>
      <w:pPr>
        <w:pStyle w:val="MainText"/>
        <w:spacing w:before="120" w:after="0"/>
        <w:rPr>
          <w:lang w:val="el" w:eastAsia="el"/>
        </w:rPr>
      </w:pPr>
      <w:r>
        <w:rPr>
          <w:b/>
          <w:bCs/>
          <w:lang w:val="el" w:eastAsia="el"/>
        </w:rPr>
        <w:t>2.</w:t>
      </w:r>
      <w:r>
        <w:rPr>
          <w:lang w:val="el" w:eastAsia="el"/>
        </w:rPr>
        <w:t xml:space="preserve"> Για την επιβολή κυρώσεων λαμβάνονται ιδίως υπόψη η έκταση της μη συμμόρφωσης, η ιδιότητα του οικονομικού φορέα (κατασκευαστής, εξουσιοδοτημένος αντιπρόσωπος, εισαγωγέας, διανομέας) και το μέγεθος της επιχείρησης, οι συνθήκες κάτω από τις οποίες τε- λέσθηκε ή εξακολουθεί να τελείται η παράβαση, οι ιδιαιτερότητες των ευρημάτων και οι επιπτώσεις αυτών, οι τυχόν διορθωτικές ενέργειες και η εκ των υστέρων συμμόρφωση του οικονομικού φορέα, καθώς και ο βαθμός της συνεργασίας του ελεγχόμενου με τα κλιμάκια ελέγχου και την αρμόδια υπηρεσία.</w:t>
      </w:r>
    </w:p>
    <w:p>
      <w:pPr>
        <w:pStyle w:val="MainText"/>
        <w:spacing w:before="120" w:after="0"/>
        <w:rPr>
          <w:lang w:val="el" w:eastAsia="el"/>
        </w:rPr>
      </w:pPr>
      <w:r>
        <w:rPr>
          <w:b/>
          <w:bCs/>
          <w:lang w:val="el" w:eastAsia="el"/>
        </w:rPr>
        <w:t>3.</w:t>
      </w:r>
      <w:r>
        <w:rPr>
          <w:lang w:val="el" w:eastAsia="el"/>
        </w:rPr>
        <w:t xml:space="preserve"> Εάν διαπιστωθεί ότι το ελεγχόμενο προϊόν δεν συμμορφώνεται προς τις απαιτήσεις του παρόντος, η αρχή εποπτείας της αγοράς δύναται να λαμβάνει, μεταξύ άλλων, αναλόγως τα ακόλουθα διοικητικά μέτρα:</w:t>
      </w:r>
    </w:p>
    <w:p>
      <w:pPr>
        <w:pStyle w:val="StructureList1"/>
        <w:spacing w:before="120" w:after="0"/>
        <w:rPr>
          <w:lang w:val="el" w:eastAsia="el"/>
        </w:rPr>
      </w:pPr>
      <w:r>
        <w:rPr>
          <w:lang w:val="el" w:eastAsia="el"/>
        </w:rPr>
        <w:t>α)</w:t>
      </w:r>
      <w:r>
        <w:rPr>
          <w:lang w:val="en" w:eastAsia="en"/>
        </w:rPr>
        <w:tab/>
      </w:r>
      <w:r>
        <w:rPr>
          <w:lang w:val="el" w:eastAsia="el"/>
        </w:rPr>
        <w:t>σύσταση για διορθωτικές ενέργειες,</w:t>
      </w:r>
    </w:p>
    <w:p>
      <w:pPr>
        <w:pStyle w:val="StructureList1"/>
        <w:spacing w:before="120" w:after="0"/>
        <w:rPr>
          <w:lang w:val="el" w:eastAsia="el"/>
        </w:rPr>
      </w:pPr>
      <w:r>
        <w:rPr>
          <w:lang w:val="el" w:eastAsia="el"/>
        </w:rPr>
        <w:t>β)</w:t>
      </w:r>
      <w:r>
        <w:rPr>
          <w:lang w:val="en" w:eastAsia="en"/>
        </w:rPr>
        <w:tab/>
      </w:r>
      <w:r>
        <w:rPr>
          <w:lang w:val="el" w:eastAsia="el"/>
        </w:rPr>
        <w:t>προσωρινή δέσμευση,</w:t>
      </w:r>
    </w:p>
    <w:p>
      <w:pPr>
        <w:pStyle w:val="StructureList1"/>
        <w:spacing w:before="120" w:after="0"/>
        <w:rPr>
          <w:lang w:val="el" w:eastAsia="el"/>
        </w:rPr>
      </w:pPr>
      <w:r>
        <w:rPr>
          <w:lang w:val="el" w:eastAsia="el"/>
        </w:rPr>
        <w:t>γ)</w:t>
      </w:r>
      <w:r>
        <w:rPr>
          <w:lang w:val="en" w:eastAsia="en"/>
        </w:rPr>
        <w:tab/>
      </w:r>
      <w:r>
        <w:rPr>
          <w:lang w:val="el" w:eastAsia="el"/>
        </w:rPr>
        <w:t>απαγόρευση κυκλοφορίας και διαθεσιμότητας.</w:t>
      </w:r>
    </w:p>
    <w:p>
      <w:pPr>
        <w:pStyle w:val="MainText"/>
        <w:spacing w:before="120" w:after="0"/>
        <w:rPr>
          <w:lang w:val="el" w:eastAsia="el"/>
        </w:rPr>
      </w:pPr>
      <w:r>
        <w:rPr>
          <w:b/>
          <w:bCs/>
          <w:lang w:val="el" w:eastAsia="el"/>
        </w:rPr>
        <w:t>4.</w:t>
      </w:r>
      <w:r>
        <w:rPr>
          <w:lang w:val="el" w:eastAsia="el"/>
        </w:rPr>
        <w:t xml:space="preserve"> Για την επιβολή κυρώσεων στο πλαίσιο των υπηρεσιών στον τομέα των ηλεκτρονικών επικοινωνιών, όπως αυτές ορίζονται στο άρθρο 138 του ν. 4727/2020 (Α’ 184), αρμόδια αρχή είναι η Εθνική Επιτροπή Τηλεπικοινωνιών και Ταχυδρομείων, σύμφωνα με το άρθρο 113 του ν. 4727/2020.</w:t>
      </w:r>
    </w:p>
    <w:p>
      <w:pPr>
        <w:pStyle w:val="MainText"/>
        <w:spacing w:before="120" w:after="0"/>
        <w:rPr>
          <w:lang w:val="el" w:eastAsia="el"/>
        </w:rPr>
      </w:pPr>
      <w:r>
        <w:rPr>
          <w:b/>
          <w:bCs/>
          <w:lang w:val="el" w:eastAsia="el"/>
        </w:rPr>
        <w:t>5.</w:t>
      </w:r>
      <w:r>
        <w:rPr>
          <w:lang w:val="el" w:eastAsia="el"/>
        </w:rPr>
        <w:t xml:space="preserve"> Σε περίπτωση παράβασης των υποχρεώσεων του παρόντος εκ μέρους των παρόχων υπηρεσιών μέσων επικοινωνίας, το Εθνικό Συμβούλιο Ραδιοτηλεόρασης επιβάλλει στον πάροχο της υπηρεσίας τις προβλεπό- μενες στην παρ. 3 του άρθρου 36 του ν. 4779/2021 (Α’ 27) ή στο άρθρο 4 του ν. 2328/1995 (Α’ 159) κυρώσεις.</w:t>
      </w:r>
    </w:p>
    <w:p>
      <w:pPr>
        <w:pStyle w:val="MainText"/>
        <w:spacing w:before="120" w:after="0"/>
        <w:rPr>
          <w:lang w:val="el" w:eastAsia="el"/>
        </w:rPr>
      </w:pPr>
      <w:r>
        <w:rPr>
          <w:b/>
          <w:bCs/>
          <w:lang w:val="el" w:eastAsia="el"/>
        </w:rPr>
        <w:t>6.</w:t>
      </w:r>
      <w:r>
        <w:rPr>
          <w:lang w:val="el" w:eastAsia="el"/>
        </w:rPr>
        <w:t xml:space="preserve"> Σε περίπτωση παράβασης των υποχρεώσεων ως προς το δομημένο περιβάλλον κατά την παρ. 3 του άρθρου 5, εφαρμόζονται οι κυρώσεις που προβλέπονται στην κείμενη πολεοδομική νομοθεσία και τη νομοθεσία που διέπει τις περιπτώσεις προσβασιμότητας εντός χερσαίας ζώνης λιμένα.</w:t>
      </w:r>
    </w:p>
    <w:p>
      <w:pPr>
        <w:pStyle w:val="MainText"/>
        <w:spacing w:before="120" w:after="0"/>
        <w:rPr>
          <w:lang w:val="el" w:eastAsia="el"/>
        </w:rPr>
      </w:pPr>
      <w:r>
        <w:rPr>
          <w:b/>
          <w:bCs/>
          <w:lang w:val="el" w:eastAsia="el"/>
        </w:rPr>
        <w:t>7.</w:t>
      </w:r>
      <w:r>
        <w:rPr>
          <w:lang w:val="el" w:eastAsia="el"/>
        </w:rPr>
        <w:t xml:space="preserve"> Το παρόν άρθρο δεν εφαρμόζεται σε διαδικασίες σύναψης συμβάσεων του ν. 4412/2016 (Α’ 147).</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Kατ’ εφαρμογή του άρθρου 19, με κοινή απόφαση των Υπουργών Ανάπτυξης και Επενδύσεων, Οικονομικών, Ψηφιακής Διακυβέρνησης και Υποδομών και Μεταφορών εξειδικεύονται, ύστερα από εισήγηση της Εθνικής Αρχής Προσβασιμότητας, η οργανωτική και υλικοτεχνική υποδομή για την άσκηση της εποπτείας της αγοράς, οι απαιτούμενες διοικητικές διαδικασίες για τη συγκρότηση μικτών κλιμακίων ελέγχου και καθορίζονται οι αποζημιώσεις και λοιπές δαπάνες των ελεγκτών.</w:t>
      </w:r>
    </w:p>
    <w:p>
      <w:pPr>
        <w:pStyle w:val="MainText"/>
        <w:spacing w:before="120" w:after="0"/>
        <w:rPr>
          <w:lang w:val="el" w:eastAsia="el"/>
        </w:rPr>
      </w:pPr>
      <w:r>
        <w:rPr>
          <w:b/>
          <w:bCs/>
          <w:lang w:val="el" w:eastAsia="el"/>
        </w:rPr>
        <w:t>2.</w:t>
      </w:r>
      <w:r>
        <w:rPr>
          <w:lang w:val="el" w:eastAsia="el"/>
        </w:rPr>
        <w:t xml:space="preserve"> Κατ’ εφαρμογή του άρθρου 26, με προεδρικό διάταγμα, κατόπιν πρότασης των Υπουργών Ανάπτυξης και Επενδύσεων, Οικονομικών, Ψηφιακής Διακυβέρνησης και Υποδομών και Μεταφορών εξειδικεύονται για τα προϊόντα: α) οι περιπτώσεις επιβολής κυρώσεων, β) το ύψος των διοικητικών προστίμων για κάθε παράβαση, γ) η διαδικασία και τα όργανα επιβολής αυτών, δ) η διαδικασία είσπραξης των διοικητικών προστίμων, καθώς και ε) κάθε άλλη αναγκαία λεπτομέρεια ως προς τα προϊόντα που υπάγονται σε αυτόν.</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(παρ. 3 άρθρου 31 και άρθρου 32 Οδηγίας (ΕΕ) 2019/882)</w:t>
      </w:r>
    </w:p>
    <w:p>
      <w:pPr>
        <w:pStyle w:val="MainText"/>
        <w:spacing w:before="120" w:after="0"/>
        <w:rPr>
          <w:lang w:val="el" w:eastAsia="el"/>
        </w:rPr>
      </w:pPr>
      <w:r>
        <w:rPr>
          <w:b/>
          <w:bCs/>
          <w:lang w:val="el" w:eastAsia="el"/>
        </w:rPr>
        <w:t>1.</w:t>
      </w:r>
      <w:r>
        <w:rPr>
          <w:lang w:val="el" w:eastAsia="el"/>
        </w:rPr>
        <w:t xml:space="preserve"> Με την επιφύλαξη της παρ. 2, έως την 28η Ιουνίου 2030, οι πάροχοι υπηρεσιών δύνανται να παρέχουν τις υπηρεσίες τους με προϊόντα που χρησιμοποιούν νόμιμα για την παροχή παρόμοιων υπηρεσιών πριν από την ως άνω ημερομηνία. Οι συμβάσεις υπηρεσιών που έχουν συναφθεί πριν από την 28η Ιουνίου 2025 μπορούν να παραμείνουν σε ισχύ χωρίς μεταβολή έως τη λήξη τους, έως πέντε (5) έτη από την παραπάνω ημερομηνία.</w:t>
      </w:r>
    </w:p>
    <w:p>
      <w:pPr>
        <w:pStyle w:val="MainText"/>
        <w:spacing w:before="120" w:after="0"/>
        <w:rPr>
          <w:lang w:val="el" w:eastAsia="el"/>
        </w:rPr>
      </w:pPr>
      <w:r>
        <w:rPr>
          <w:b/>
          <w:bCs/>
          <w:lang w:val="el" w:eastAsia="el"/>
        </w:rPr>
        <w:t>2.</w:t>
      </w:r>
      <w:r>
        <w:rPr>
          <w:lang w:val="el" w:eastAsia="el"/>
        </w:rPr>
        <w:t xml:space="preserve"> Ο παρών εφαρμόζεται μόνο σε διαδικασίες σύναψης συμβάσεων για τις οποίες η αναθέτουσα αρχή έχει κινήσει τη διαδικασία σύναψης της σύμβασης, κατά τα άρθρα 61, 120, 290 και 330 του ν. 4412/2016 (Α’ 147) μετά την 28η Ιουνίου 2025.</w:t>
      </w:r>
    </w:p>
    <w:p>
      <w:pPr>
        <w:pStyle w:val="MainText"/>
        <w:spacing w:before="120" w:after="0"/>
        <w:rPr>
          <w:lang w:val="el" w:eastAsia="el"/>
        </w:rPr>
      </w:pPr>
      <w:r>
        <w:rPr>
          <w:b/>
          <w:bCs/>
          <w:lang w:val="el" w:eastAsia="el"/>
        </w:rPr>
        <w:t>3.</w:t>
      </w:r>
      <w:r>
        <w:rPr>
          <w:lang w:val="el" w:eastAsia="el"/>
        </w:rPr>
        <w:t xml:space="preserve"> Τερματικά αυτοεξυπηρέτησης που χρησιμοποιούνται νομίμως από παρόχους υπηρεσιών για την παροχή υπηρεσιών, πριν την 28η Ιουνίου 2025, μπορούν να χρησιμοποιούνται για την παροχή παρόμοιων υπηρεσιών, μέχρι το τέλος της οικονομικά ωφέλιμης ζωής τους, για ανώτατο διάστημα έως είκοσι (20) ετών από την έναρξη της χρήσης τους.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ΔΙΑΤΑΞΕΙΣ ΑΝΑΠΤΥΞΙΑΚΟΥ ΧΑΡΑΚΤΗΡΑ</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Αρμοδιότητα ελέγχου διάθεσης πλαστικών προϊόντων μιας χρήσης στις επιχειρήσεις λιανικού εμπορίου, μαζικής εστίασης και τροφοδοσίας (catering) - Τροποποίηση περ. γ) παρ. 1 άρθρου 17 ν. 4736/2020</w:t>
      </w:r>
    </w:p>
    <w:p>
      <w:pPr>
        <w:spacing w:before="240" w:after="240"/>
        <w:rPr>
          <w:lang w:val="el" w:eastAsia="el"/>
        </w:rPr>
      </w:pPr>
      <w:r>
        <w:rPr>
          <w:lang w:val="el" w:eastAsia="el"/>
        </w:rPr>
        <w:t>Η περ. γ) της παρ. 1 του άρθρου 17 του ν. 4736/2020 (Α’ 200), περί ελέγχου και αρμοδίων αρχών ελέγχου, τροποποιείται ως προς τη διεύρυνση της αρμοδιότητας ελέγχου της Διυπηρεσιακής Μονάδας Ελέγχου Αγοράς σχετικά με τη διάθεση πλαστικών προϊόντων μίας χρήσης στις επιχειρήσεις λιανικού εμπορίου, μαζικής εστίασης και τροφοδοσίας (catering), και η περ. γ’ διαμορφώνεται ως εξής:</w:t>
      </w:r>
    </w:p>
    <w:p>
      <w:pPr>
        <w:spacing w:before="240" w:after="240"/>
        <w:rPr>
          <w:lang w:val="el" w:eastAsia="el"/>
        </w:rPr>
      </w:pPr>
      <w:r>
        <w:rPr>
          <w:lang w:val="el" w:eastAsia="el"/>
        </w:rPr>
        <w:t>«γ) η Διυπηρεσιακή Μονάδα Ελέγχου Αγοράς (ΔΙ.Μ.Ε.Α.) του Υπουργείου Ανάπτυξης και Επενδύσεων για τον έλεγχο της εφαρμογής των υποχρεώσεων των παρ. 4 έως 6 του άρθρου 4 και της παρ. 1 του άρθρου 5 στις επιχειρήσεις λιανικού εμπορίου, μαζικής εστίασης και τροφοδοσίας (catering).»</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Ορισμός Προέδρου εφορευτικής επιτροπής κατά τις εκλογικές</w:t>
      </w:r>
    </w:p>
    <w:p>
      <w:pPr>
        <w:spacing w:before="240" w:after="240"/>
        <w:rPr>
          <w:lang w:val="el" w:eastAsia="el"/>
        </w:rPr>
      </w:pPr>
      <w:r>
        <w:rPr>
          <w:b/>
          <w:bCs/>
          <w:lang w:val="el" w:eastAsia="el"/>
        </w:rPr>
        <w:t>διαδικασίες επαγγελματικών οργανώσεων -</w:t>
      </w:r>
    </w:p>
    <w:p>
      <w:pPr>
        <w:spacing w:before="240" w:after="240"/>
        <w:rPr>
          <w:lang w:val="el" w:eastAsia="el"/>
        </w:rPr>
      </w:pPr>
      <w:r>
        <w:rPr>
          <w:b/>
          <w:bCs/>
          <w:lang w:val="el" w:eastAsia="el"/>
        </w:rPr>
        <w:t>Τροποποίηση παρ. 20 άρθρου 7 ν. 1712/1987</w:t>
      </w:r>
    </w:p>
    <w:p>
      <w:pPr>
        <w:spacing w:before="240" w:after="240"/>
        <w:rPr>
          <w:lang w:val="el" w:eastAsia="el"/>
        </w:rPr>
      </w:pPr>
      <w:r>
        <w:rPr>
          <w:lang w:val="el" w:eastAsia="el"/>
        </w:rPr>
        <w:t>Η παρ. 20 του άρθρου 7 του ν. 1712/1987 (Α’ 115), περί εκλογικών διαδικασιών επαγγελματικών οργανώσεων, τροποποιείται ως προς την ιδιότητα του προεδρεύοντος της εφορευτικής επιτροπής, επικαιροποιούνται οι νομοθετικές παραπομπές, και η παρ. 20 διαμορφώνεται ως εξής:</w:t>
      </w:r>
    </w:p>
    <w:p>
      <w:pPr>
        <w:spacing w:before="240" w:after="240"/>
        <w:rPr>
          <w:lang w:val="el" w:eastAsia="el"/>
        </w:rPr>
      </w:pPr>
      <w:r>
        <w:rPr>
          <w:lang w:val="el" w:eastAsia="el"/>
        </w:rPr>
        <w:t>«20. Στην εφορευτική επιτροπή προεδρεύει δικηγόρος του οικείου Δικηγορικού Συλλόγου, που ορίζεται κατά τις παρ. 3, 4 και 6 του άρθρου 11 του ν. 1264/1982 (Α’ 79).»</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Παραχώρηση ακινήτων ευρισκομένων εντός των Ζωνών Απολιγνιτοποίησης - Προσθήκη παρ. 12 στο άρθρο 4 του ν. 4061/2012</w:t>
      </w:r>
    </w:p>
    <w:p>
      <w:pPr>
        <w:spacing w:before="240" w:after="240"/>
        <w:rPr>
          <w:lang w:val="el" w:eastAsia="el"/>
        </w:rPr>
      </w:pPr>
      <w:r>
        <w:rPr>
          <w:lang w:val="el" w:eastAsia="el"/>
        </w:rPr>
        <w:t>Στο άρθρο 4 του ν. 4061/2012 (Α’ 66), περί παραχωρήσεων ακινήτων του Υπουργείου Αγροτικής Ανάπτυξης και Τροφίμων, προστίθεται παρ. 12 ως εξής:</w:t>
      </w:r>
    </w:p>
    <w:p>
      <w:pPr>
        <w:spacing w:before="240" w:after="240"/>
        <w:rPr>
          <w:lang w:val="el" w:eastAsia="el"/>
        </w:rPr>
      </w:pPr>
      <w:r>
        <w:rPr>
          <w:lang w:val="el" w:eastAsia="el"/>
        </w:rPr>
        <w:t>«12. Με απόφαση του αρμόδιου οργάνου του Υπουργείου Αγροτικής Ανάπτυξης και Τροφίμων μετά από αίτηση της Ελληνικής Εταιρείας Δίκαιης Αναπτυξιακής Μετάβασης Α.Ε. (ΕΛΕ.Δ.Α.Μ.) με τον διακριτικό τίτλο «ΜΕΤΑΒΑΣΗ Α.Ε.» δύνανται να παραχωρούνται, κατά χρήση, έναντι τιμήματος, χωρίς δημοπρασία, ακίνητα της περ. α) της παρ. 1, ανεξαρτήτως έκτασης, εφόσον τα ακίνητα βρίσκονται εντός των Ζωνών Απολιγνιτοποίη- σης της παρ. 1 του άρθρου 155 του ν. 4759/2020 (Α’ 245), για δραστηριότητες του πρωτογενή τομέα, του τομέα μεταποίησης και εφοδιαστικής αλυσίδας, για καινοτόμες και νεοφυείς δραστηριότητες, καθώς και για επενδύσεις, όπως ίδρυση ή επέκταση βιοτεχνικών, βιομηχανικών και λοιπών εγκαταστάσεων, ίδρυση ή επέκταση ξενοδοχειακών μονάδων και επενδύσεις σε ανανεώσιμες πηγές ενέργειας ή και συστήματα αποθήκευσης. Η παραχώρηση γίνεται κατά ανώτατο όριο για σαράντα (40) έτη, με δυνατότητα παράτασης για επιπλέον είκοσι (20) έτη.</w:t>
      </w:r>
    </w:p>
    <w:p>
      <w:pPr>
        <w:spacing w:before="240" w:after="240"/>
        <w:rPr>
          <w:lang w:val="el" w:eastAsia="el"/>
        </w:rPr>
      </w:pPr>
      <w:r>
        <w:rPr>
          <w:lang w:val="el" w:eastAsia="el"/>
        </w:rPr>
        <w:t>Στη σχετική αίτηση περιγράφεται το ακίνητο, κατά εμβαδόν, θέση και συντεταγμένες στο ελληνικό γεωδαιτικό σύστημα αναφοράς. Στην ίδια απόφαση αναγράφονται επίσης οι όροι και οι προϋποθέσεις της παραχώρησης, η χρονική διάρκειά της, το τίμημα, ο τρόπος και η έναρξη καταβολής του, καθώς και κάθε άλλη αναγκαία λεπτομέρεια.</w:t>
      </w:r>
    </w:p>
    <w:p>
      <w:pPr>
        <w:spacing w:before="240" w:after="240"/>
        <w:rPr>
          <w:lang w:val="el" w:eastAsia="el"/>
        </w:rPr>
      </w:pPr>
      <w:r>
        <w:rPr>
          <w:lang w:val="el" w:eastAsia="el"/>
        </w:rPr>
        <w:t>Η «ΜΕΤΑΒΑΣΗ Α.Ε.» υπεκμισθώνει, είτε κατά τμήματα, είτε στο σύνολό τους, τα ακίνητα που της παραχωρήθη- καν. Το τίμημα της παραχώρησης ανέρχεται σε ποσοστό πέντε τοις εκατό (5%), επί του εισπραττόμενου μισθώματος, για την υλοποίηση των ανωτέρω επενδυτικών σκοπών, εφαρμοζόμενου του άρθρου 9. Η «ΜΕΤΑΒΑΣΗ Α.Ε.» εντός προθεσμίας: α) έξι (6) ετών από την παραχώρηση, υπεκμισθώνει τα παραχωρούμενα ακίνητα, και β) εντός προθεσμίας ενός (1) μηνός από την υπογραφή της σύμβασης υπεκμίσθωσης, ενημερώνει το αρμόδιο όργανο του Υπουργείου Αγροτικής Ανάπτυξης και Τροφίμων που εξέδωσε την απόφαση της παραχώρησης για την υπεκμίσθωσή τους, άλλως ανακαλείται η παραχώρηση.»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Παράταση προθεσμίας απομάκρυνσης λόγω αλλαγής χρήσης γης των μεταποιητικών δραστηριοτήτων - Τροποποίηση παρ. 1 άρθρου 75 ν. 3982/2011</w:t>
      </w:r>
    </w:p>
    <w:p>
      <w:pPr>
        <w:spacing w:before="240" w:after="240"/>
        <w:rPr>
          <w:lang w:val="el" w:eastAsia="el"/>
        </w:rPr>
      </w:pPr>
      <w:r>
        <w:rPr>
          <w:lang w:val="el" w:eastAsia="el"/>
        </w:rPr>
        <w:t>Στην παρ. 1 του άρθρου 75 του ν. 3982/2011 (Α’ 143), περί της προθεσμίας απομάκρυνσης λόγω αλλαγής χρήσης γης των νομίμως υφιστάμενων μεταποιητικών δραστηριοτήτων, παρατείνεται η προθεσμία του πρώτου και του τετάρτου εδαφίου και η παρ. 1 διαμορφώνεται ως εξής:</w:t>
      </w:r>
    </w:p>
    <w:p>
      <w:pPr>
        <w:spacing w:before="240" w:after="240"/>
        <w:rPr>
          <w:lang w:val="el" w:eastAsia="el"/>
        </w:rPr>
      </w:pPr>
      <w:r>
        <w:rPr>
          <w:lang w:val="el" w:eastAsia="el"/>
        </w:rPr>
        <w:t>«1. Η προθεσμία απομάκρυνσης λόγω αλλαγής χρήσης γης των νομίμως υφιστάμενων μεταποιητικών δραστηριοτήτων παρατείνεται μέχρι τις 31.12.2027. Προκειμέ- νου να ισχύσει το προηγούμενο εδάφιο, οι επιχειρήσεις οφείλουν να λειτουργούν μέχρι τότε με εγκεκριμένους περιβαλλοντικούς όρους. Μετά την ημερομηνία αυτήν με ευθύνη της Αδειοδοτούσας Αρχής διακόπτεται η λειτουργία των δραστηριοτήτων και σφραγίζονται όσα μηχανήματα εξακολουθούν να υπάρχουν στους χώρους της εγκατάστασης. Διαδικασίες διακοπής λειτουργίας λόγω αλλαγής χρήσης γης, οι οποίες για τον λόγο αυτόν βρίσκονται σε εκκρεμότητα, αναστέλλονται σύμφωνα με τα παραπάνω εδάφια μέχρι 31.12.2027. Ως «νόμιμα υφιστάμενες» νοούνται οι δραστηριότητες, οι οποίες διαθέτουν τον απαιτούμενο διοικητικό τύπο λειτουργίας τους σε ισχύ, καθώς και εκείνες, οι οποίες πληρούν όλες τις προϋποθέσεις για ανανέωση της διοικητικής διαδικασίας για τη λειτουργία τους, εκτός από την προϋπόθεση περί χρήσης γης. Τα προηγούμενα εδάφια δεν εφαρμόζονται σε επιχειρήσεις που είναι εγκατεστημένες σε περιοχή, η οποία καθορίζεται, σύμφωνα με τα άρθρα 11 και 12 του ν. 3481/2006 (Α’ 162).»</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Υποστηρικτικές δράσεις προς τη Γενική Διεύθυνση Αναπτυξιακών Νόμων και Άμεσων Ξένων Επενδύσεων - Εξουσιοδοτική διάταξη - Τροποποποίηση παρ. 4 άρθρου 129 ν. 4887/2022</w:t>
      </w:r>
    </w:p>
    <w:p>
      <w:pPr>
        <w:spacing w:before="240" w:after="240"/>
        <w:rPr>
          <w:lang w:val="el" w:eastAsia="el"/>
        </w:rPr>
      </w:pPr>
      <w:r>
        <w:rPr>
          <w:lang w:val="el" w:eastAsia="el"/>
        </w:rPr>
        <w:t>Στην παρ. 4 του άρθρου 129 του ν. 4887/2022 (Α’ 16), περί εξουσιοδοτικών διατάξεων, προστίθεται δεύτερο εδάφιο και η παρ. 4 διαμορφώνεται ως εξής:</w:t>
      </w:r>
    </w:p>
    <w:p>
      <w:pPr>
        <w:spacing w:before="240" w:after="240"/>
        <w:rPr>
          <w:lang w:val="el" w:eastAsia="el"/>
        </w:rPr>
      </w:pPr>
      <w:r>
        <w:rPr>
          <w:lang w:val="el" w:eastAsia="el"/>
        </w:rPr>
        <w:t>«4. Με απόφαση του Υπουργού Ανάπτυξης και Επενδύσεων δύναται να ανατίθεται στον Ενδιάμεσο Φορέα του Επιχειρησιακού Προγράμματος «ΑΝΤΑΓΩΝΙΣΤΙΚΟΤΗΤΑ ΚΑΙ ΕΠΙΧΕΙΡΗΜΑΤΙΚΟΤΗΤΑ» (ΕΦΕΠΑΕ) ή σε χρηματοπιστωτικά ιδρύματα η αξιολόγηση των επενδυτικών σχεδίων υπό όρους και προϋποθέσεις που προβλέπονται σε αυτήν.</w:t>
      </w:r>
    </w:p>
    <w:p>
      <w:pPr>
        <w:spacing w:before="240" w:after="240"/>
        <w:rPr>
          <w:lang w:val="el" w:eastAsia="el"/>
        </w:rPr>
      </w:pPr>
      <w:r>
        <w:rPr>
          <w:lang w:val="el" w:eastAsia="el"/>
        </w:rPr>
        <w:t>Με όμοια απόφαση δύναται να ανατίθενται στον ΕΦΕ- ΠΑΕ υποστηρικτικές δράσεις προς τη Γενική Διεύθυνση Αναπτυξιακών Νόμων και Άμεσων Ξένων Επενδύσεων του Υπουργείου Ανάπτυξης και Επενδύσεων για την πληρέστερη ενημέρωση του επενδυτικού κοινού, τη συστηματική εκπαίδευση των μελών των Εθνικών Μητρώων Πιστοποιημένων Αξιολογητών και Ελεγκτών, καθώς και κάθε άλλο σχετικό ζήτημα.»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Μη υποχρέωση υποβολής βεβαιώσεων υλοποίησης από μέλη του Εθνικού Μητρώου Πιστοποιημένων Ελεγκτών - Μεταβατική διάταξη</w:t>
      </w:r>
    </w:p>
    <w:p>
      <w:pPr>
        <w:pStyle w:val="MainText"/>
        <w:spacing w:before="120" w:after="0"/>
        <w:rPr>
          <w:lang w:val="el" w:eastAsia="el"/>
        </w:rPr>
      </w:pPr>
      <w:r>
        <w:rPr>
          <w:b/>
          <w:bCs/>
          <w:lang w:val="el" w:eastAsia="el"/>
        </w:rPr>
        <w:t>1.</w:t>
      </w:r>
      <w:r>
        <w:rPr>
          <w:lang w:val="el" w:eastAsia="el"/>
        </w:rPr>
        <w:t xml:space="preserve"> Η υποχρέωση του δεύτερου εδαφίου της περ. β’ της παρ. 1 του άρθρου 120 του ν. 4887/2022 (Α’ 16) για την προέλευση από το Εθνικό Μητρώο Πιστοποιημένων Ελεγκτών (Ε.Μ.Π.Ε.) των πολιτικών μηχανικών και των λοιπών επαγγελματικών ειδικοτήτων προσώπων που εκδίδουν βεβαιώσεις υλοποίησης της επένδυσης και συνυποβάλλονται με τις εκθέσεις ελέγχου των ορκωτών ελεγκτών - λογιστών ή ελεγκτικών εταιρειών, έχει εφαρμογή από την 1η Ιανουαρίου 2023.</w:t>
      </w:r>
    </w:p>
    <w:p>
      <w:pPr>
        <w:pStyle w:val="MainText"/>
        <w:spacing w:before="120" w:after="0"/>
        <w:rPr>
          <w:lang w:val="el" w:eastAsia="el"/>
        </w:rPr>
      </w:pPr>
      <w:r>
        <w:rPr>
          <w:b/>
          <w:bCs/>
          <w:lang w:val="el" w:eastAsia="el"/>
        </w:rPr>
        <w:t>2.</w:t>
      </w:r>
      <w:r>
        <w:rPr>
          <w:lang w:val="el" w:eastAsia="el"/>
        </w:rPr>
        <w:t xml:space="preserve"> Εκθέσεις ελέγχου επενδύσεων που έχουν υποβληθεί ή θα υποβληθούν μέχρι την 31η Δεκεμβρίου 2022 στις αρμόδιες υπηρεσίες των αναπτυξιακών νόμων από ορκωτούς ελεγκτές - λογιστές ή ελεγκτικές εταιρείες, και οι συνυποβαλλόμενες βεβαιώσεις που έχουν εκδοθεί από πρόσωπα των προβλεπόμενων επαγγελματικών ειδικοτήτων, μη μέλη του Ε.Μ.Π.Ε., εξετάζονται σύμφωνα με τον οικείο αναπτυξιακό νόμο.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Οργανικές μονάδες Διεύθυνσης Διοικητικής Υποστήριξης της Ειδικής Υπηρεσίας Δίκαιης Αναπτυξιακής Μετάβασης - Τροποποίηση παρ. 3 άρθρου 7 ν. 4872/2021</w:t>
      </w:r>
    </w:p>
    <w:p>
      <w:pPr>
        <w:spacing w:before="240" w:after="240"/>
        <w:rPr>
          <w:lang w:val="el" w:eastAsia="el"/>
        </w:rPr>
      </w:pPr>
      <w:r>
        <w:rPr>
          <w:lang w:val="el" w:eastAsia="el"/>
        </w:rPr>
        <w:t>Η περ. β) της παρ. 3 του άρθρου 7 του ν. 4872/2021 (Α’ 247), περί διάρθρωσης της Διεύθυνσης Διοικητικής Υποστήριξης της Ειδικής Υπηρεσίας Δίκαιης Αναπτυξιακής Μετάβασης, τροποποιείται αναφορικά με τον τίτλο του Τμήματος Ανθρώπινου Δυναμικού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Σύσταση Διεύθυνσης Διοικητικής Υποστήριξης</w:t>
      </w:r>
    </w:p>
    <w:p>
      <w:pPr>
        <w:spacing w:before="240" w:after="240"/>
        <w:rPr>
          <w:lang w:val="el" w:eastAsia="el"/>
        </w:rPr>
      </w:pPr>
      <w:r>
        <w:rPr>
          <w:lang w:val="el" w:eastAsia="el"/>
        </w:rPr>
        <w:t>1. Συστήνεται Διεύθυνση Διοικητικής Υποστήριξης, η οποία λειτουργεί εντός της Ειδικής Υπηρεσίας Δίκαιης Αναπτυξιακής Μετάβασης (ΔΑΜ).</w:t>
      </w:r>
    </w:p>
    <w:p>
      <w:pPr>
        <w:spacing w:before="240" w:after="240"/>
        <w:rPr>
          <w:lang w:val="el" w:eastAsia="el"/>
        </w:rPr>
      </w:pPr>
      <w:r>
        <w:rPr>
          <w:lang w:val="el" w:eastAsia="el"/>
        </w:rPr>
        <w:t>2. Οι αρμοδιότητες της Διεύθυνσης Διοικητικής Υποστήριξης είναι:</w:t>
      </w:r>
    </w:p>
    <w:p>
      <w:pPr>
        <w:spacing w:before="240" w:after="240"/>
        <w:rPr>
          <w:lang w:val="el" w:eastAsia="el"/>
        </w:rPr>
      </w:pPr>
      <w:r>
        <w:rPr>
          <w:lang w:val="el" w:eastAsia="el"/>
        </w:rPr>
        <w:t>α) Ο σχεδιασμός των απαραίτητων διαδικασιών για τη λειτουργία της Ειδικής Υπηρεσίας ΔΑΜ, πλην της Διαχειριστικής Αρχής ΕΣΠΑ-ΔΑΜ, και</w:t>
      </w:r>
    </w:p>
    <w:p>
      <w:pPr>
        <w:spacing w:before="240" w:after="240"/>
        <w:rPr>
          <w:lang w:val="el" w:eastAsia="el"/>
        </w:rPr>
      </w:pPr>
      <w:r>
        <w:rPr>
          <w:lang w:val="el" w:eastAsia="el"/>
        </w:rPr>
        <w:t>β) η τεχνολογική και ψηφιακή υποστήριξη της Ειδικής Υπηρεσίας ΔΑΜ.</w:t>
      </w:r>
    </w:p>
    <w:p>
      <w:pPr>
        <w:spacing w:before="240" w:after="240"/>
        <w:rPr>
          <w:lang w:val="el" w:eastAsia="el"/>
        </w:rPr>
      </w:pPr>
      <w:r>
        <w:rPr>
          <w:lang w:val="el" w:eastAsia="el"/>
        </w:rPr>
        <w:t>3. Η Διεύθυνση Διοικητικής Υποστήριξης αποτελείται από τα ακόλουθα Τμήματα:</w:t>
      </w:r>
    </w:p>
    <w:p>
      <w:pPr>
        <w:spacing w:before="240" w:after="240"/>
        <w:rPr>
          <w:lang w:val="el" w:eastAsia="el"/>
        </w:rPr>
      </w:pPr>
      <w:r>
        <w:rPr>
          <w:lang w:val="el" w:eastAsia="el"/>
        </w:rPr>
        <w:t>α) Το Τμήμα Οργάνωσης και Ψηφιακής Υποστήριξης και β) το Τμήμα Διοικητικού - Οικονομικού.»</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Παράταση ισχύος απογευματινής υπερωριακής εργασίας - Τροποποίηση περ. α’ παρ. 2</w:t>
      </w:r>
    </w:p>
    <w:p>
      <w:pPr>
        <w:spacing w:before="240" w:after="240"/>
        <w:rPr>
          <w:lang w:val="el" w:eastAsia="el"/>
        </w:rPr>
      </w:pPr>
      <w:r>
        <w:rPr>
          <w:b/>
          <w:bCs/>
          <w:lang w:val="el" w:eastAsia="el"/>
        </w:rPr>
        <w:t>Μέρους Α’ άρθρου 20 ν. 4354/2015</w:t>
      </w:r>
    </w:p>
    <w:p>
      <w:pPr>
        <w:spacing w:before="240" w:after="240"/>
        <w:rPr>
          <w:lang w:val="el" w:eastAsia="el"/>
        </w:rPr>
      </w:pPr>
      <w:r>
        <w:rPr>
          <w:lang w:val="el" w:eastAsia="el"/>
        </w:rPr>
        <w:t>Το τελευταίο εδάφιο της περ. α’ της παρ. 2 του Μέρους Α’ του άρθρου 20 του ν. 4354/2015 (Α’ 176) ως προς την απογευματινή υπερωριακή εργασία του προσωπικού των οργάνων ελέγχου της Διυπηρεσιακής Μονάδας Ελέγχου Αγοράς (ΔΙ.Μ.Ε.Α.) τροποποιείται ως προς τον χρόνο εφαρμογής, και η περ. α’ διαμορφώνεται ως εξής:</w:t>
      </w:r>
    </w:p>
    <w:p>
      <w:pPr>
        <w:spacing w:before="240" w:after="240"/>
        <w:rPr>
          <w:lang w:val="el" w:eastAsia="el"/>
        </w:rPr>
      </w:pPr>
      <w:r>
        <w:rPr>
          <w:lang w:val="el" w:eastAsia="el"/>
        </w:rPr>
        <w:t>«α. Απογευματινή υπερωριακή εργασία</w:t>
      </w:r>
    </w:p>
    <w:p>
      <w:pPr>
        <w:spacing w:before="240" w:after="240"/>
        <w:rPr>
          <w:lang w:val="el" w:eastAsia="el"/>
        </w:rPr>
      </w:pPr>
      <w:r>
        <w:rPr>
          <w:lang w:val="el" w:eastAsia="el"/>
        </w:rPr>
        <w:t>Για απογευματινή υπερωριακή εργασία μέχρι εκατόν είκοσι (120) ανά υπάλληλο.</w:t>
      </w:r>
    </w:p>
    <w:p>
      <w:pPr>
        <w:spacing w:before="240" w:after="240"/>
        <w:rPr>
          <w:lang w:val="el" w:eastAsia="el"/>
        </w:rPr>
      </w:pPr>
      <w:r>
        <w:rPr>
          <w:lang w:val="el" w:eastAsia="el"/>
        </w:rPr>
        <w:t>Για τα πληρώματα ασθενοφόρων του Ε.Κ.Α.Β. οι ως άνω ώρες ορίζονται μέχρι διακόσιες (200) ανά υπάλληλο. Για το προσωπικό των οργάνων ελέγχου της Διυπηρεσιακής Μονάδας Ελέγχου Αγοράς (ΔΙ.Μ.Ε.Α.) του Υπουργείου Ανάπτυξης και Επενδύσεων, η οποία λειτουργεί, βάσει νόμου, σε εικοσιτετράωρη βάση, οι ως άνω ώρες ορίζονται, ειδικά για τα έτη 2022 και 2023, μέχρι εκατόν ογδόντα (180) ώρες ανά υπάλληλο.»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Προσωρινή απαγόρευση αποστολής προϊόντων υλοτομίας σε άλλο κράτος μέλος της Ευρωπαϊκής Ένωσης</w:t>
      </w:r>
    </w:p>
    <w:p>
      <w:pPr>
        <w:pStyle w:val="MainText"/>
        <w:spacing w:before="120" w:after="0"/>
        <w:rPr>
          <w:lang w:val="el" w:eastAsia="el"/>
        </w:rPr>
      </w:pPr>
      <w:r>
        <w:rPr>
          <w:b/>
          <w:bCs/>
          <w:lang w:val="el" w:eastAsia="el"/>
        </w:rPr>
        <w:t>1.</w:t>
      </w:r>
      <w:r>
        <w:rPr>
          <w:lang w:val="el" w:eastAsia="el"/>
        </w:rPr>
        <w:t xml:space="preserve"> Από τη δημοσίευση του παρόντος έως και την 1η Μαρτίου 2023 απαγορεύεται η αποστολή σε άλλο κράτος μέλος της Ευρωπαϊκής Ένωσης (ΕΕ) επεξεργασμένων ή ανεπεξέργαστων προϊόντων υλοτομίας που προορίζονται για καύση (καυσόξυλα, μπρικέτες, πέλλετ, προσάναμμα) από την Επικράτεια.</w:t>
      </w:r>
    </w:p>
    <w:p>
      <w:pPr>
        <w:pStyle w:val="MainText"/>
        <w:spacing w:before="120" w:after="0"/>
        <w:rPr>
          <w:lang w:val="el" w:eastAsia="el"/>
        </w:rPr>
      </w:pPr>
      <w:r>
        <w:rPr>
          <w:b/>
          <w:bCs/>
          <w:lang w:val="el" w:eastAsia="el"/>
        </w:rPr>
        <w:t>2.</w:t>
      </w:r>
      <w:r>
        <w:rPr>
          <w:lang w:val="el" w:eastAsia="el"/>
        </w:rPr>
        <w:t xml:space="preserve"> Αρμόδιες αρχές για την απαγόρευση της αποστολής των εμπορευμάτων της παρ. 1 είναι οι κατά τόπον αρμόδιες αστυνομικές, λιμενικές και τελωνειακές αρχές.</w:t>
      </w:r>
    </w:p>
    <w:p>
      <w:pPr>
        <w:pStyle w:val="MainText"/>
        <w:spacing w:before="120" w:after="0"/>
        <w:rPr>
          <w:lang w:val="el" w:eastAsia="el"/>
        </w:rPr>
      </w:pPr>
      <w:r>
        <w:rPr>
          <w:b/>
          <w:bCs/>
          <w:lang w:val="el" w:eastAsia="el"/>
        </w:rPr>
        <w:t>3.</w:t>
      </w:r>
      <w:r>
        <w:rPr>
          <w:lang w:val="el" w:eastAsia="el"/>
        </w:rPr>
        <w:t xml:space="preserve"> Το σύνολο των προϊόντων υλοτομίας που επιχει- ρείται να αποσταλούν σε άλλο κράτος μέλος της ΕΕ κατάσχεται. Τα κατασχεμένα παραδίδονται άμεσα στην κατά τόπον αρμόδια Διεύθυνση Ανάπτυξης της οικείας Περιφέρειας, προκειμένου αυτά να διατίθενται για τη θεραπεία άμεσης κοινωνικής ανάγκης ή την εκπλήρωση κοινωφελούς σκοπού ή τη διενέργεια δράσεων φιλανθρωπικού χαρακτήρα.</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και Επενδύσεων, Οικονομικών, Προστασίας του Πολίτη, Εσωτερικών, Ναυτιλίας και Νησιωτικής Πολιτικής και του Διοικητή της Ανεξάρτητης Αρχής Δημοσίων Εσόδων εξειδικεύονται ζητήματα που αφορούν στη διαδικασία ελέγχου και συντονισμού των συναρμόδιων αρχών, τη διάθεση των κατασχεμένων προϊόντων υλοτομίας και κάθε αναγκαία λεπτομέρεια για την εφαρμογή της παρούσας.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Προσωρινή απαγόρευση εξαγωγής προϊόντων υλοτομίας σε τρίτα κράτη</w:t>
      </w:r>
    </w:p>
    <w:p>
      <w:pPr>
        <w:pStyle w:val="MainText"/>
        <w:spacing w:before="120" w:after="0"/>
        <w:rPr>
          <w:lang w:val="el" w:eastAsia="el"/>
        </w:rPr>
      </w:pPr>
      <w:r>
        <w:rPr>
          <w:b/>
          <w:bCs/>
          <w:lang w:val="el" w:eastAsia="el"/>
        </w:rPr>
        <w:t>1.</w:t>
      </w:r>
      <w:r>
        <w:rPr>
          <w:lang w:val="el" w:eastAsia="el"/>
        </w:rPr>
        <w:t xml:space="preserve"> Από τη δημοσίευση του παρόντος έως και την 1η Μαρτίου 2023 απαγορεύεται η εξαγωγή επεξεργασμένων ή ανεπεξέργαστων προϊόντων υλοτομίας που προορίζονται για καύση (καυσόξυλα, μπρικέτες, πέλλετ, προσάναμμα) από την Επικράτεια σε τρίτα κράτη.</w:t>
      </w:r>
    </w:p>
    <w:p>
      <w:pPr>
        <w:pStyle w:val="MainText"/>
        <w:spacing w:before="120" w:after="0"/>
        <w:rPr>
          <w:lang w:val="el" w:eastAsia="el"/>
        </w:rPr>
      </w:pPr>
      <w:r>
        <w:rPr>
          <w:b/>
          <w:bCs/>
          <w:lang w:val="el" w:eastAsia="el"/>
        </w:rPr>
        <w:t>2.</w:t>
      </w:r>
      <w:r>
        <w:rPr>
          <w:lang w:val="el" w:eastAsia="el"/>
        </w:rPr>
        <w:t xml:space="preserve"> Αρμόδιες αρχές για την απαγόρευση της εξαγωγής των εμπορευμάτων της παρ. 1 είναι οι τελωνειακές αρχές.</w:t>
      </w:r>
    </w:p>
    <w:p>
      <w:pPr>
        <w:pStyle w:val="MainText"/>
        <w:spacing w:before="120" w:after="0"/>
        <w:rPr>
          <w:lang w:val="el" w:eastAsia="el"/>
        </w:rPr>
      </w:pPr>
      <w:r>
        <w:rPr>
          <w:b/>
          <w:bCs/>
          <w:lang w:val="el" w:eastAsia="el"/>
        </w:rPr>
        <w:t>3.</w:t>
      </w:r>
      <w:r>
        <w:rPr>
          <w:lang w:val="el" w:eastAsia="el"/>
        </w:rPr>
        <w:t xml:space="preserve"> Η παραβίαση της απαγόρευσης της παρ. 1 ως προς τις εξαγωγές συνιστά λαθρεμπορία, σύμφωνα με την περ. β) της παρ. 2 του άρθρου 155 του Εθνικού Τελωνειακού Κώδικα (ν. 2960/2001, Α’ 265), για την οποία επιβάλλονται σωρευτικά:</w:t>
      </w:r>
    </w:p>
    <w:p>
      <w:pPr>
        <w:pStyle w:val="StructureList1"/>
        <w:spacing w:before="120" w:after="0"/>
        <w:rPr>
          <w:lang w:val="el" w:eastAsia="el"/>
        </w:rPr>
      </w:pPr>
      <w:r>
        <w:rPr>
          <w:lang w:val="el" w:eastAsia="el"/>
        </w:rPr>
        <w:t>α)</w:t>
      </w:r>
      <w:r>
        <w:rPr>
          <w:lang w:val="en" w:eastAsia="en"/>
        </w:rPr>
        <w:tab/>
      </w:r>
      <w:r>
        <w:rPr>
          <w:lang w:val="el" w:eastAsia="el"/>
        </w:rPr>
        <w:t>ως διοικητική κύρωση πρόστιμο ύψους διακοσί- ων (200) ευρώ ανά κυβικό μέτρο προϊόντων υλοτομίας που επιχειρείται να εξαχθεί ή αποδεικνύεται ότι έχει εξαχθεί από την Επικράτεια, το οποίο επιβάλλεται με τη διαδικασία του Κεφαλαίου Α’ του Πέμπτου Μέρους του ν. 2960/2001, και</w:t>
      </w:r>
    </w:p>
    <w:p>
      <w:pPr>
        <w:pStyle w:val="StructureList1"/>
        <w:spacing w:before="120" w:after="0"/>
        <w:rPr>
          <w:lang w:val="el" w:eastAsia="el"/>
        </w:rPr>
      </w:pPr>
      <w:r>
        <w:rPr>
          <w:lang w:val="el" w:eastAsia="el"/>
        </w:rPr>
        <w:t>β)</w:t>
      </w:r>
      <w:r>
        <w:rPr>
          <w:lang w:val="en" w:eastAsia="en"/>
        </w:rPr>
        <w:tab/>
      </w:r>
      <w:r>
        <w:rPr>
          <w:lang w:val="el" w:eastAsia="el"/>
        </w:rPr>
        <w:t>ποινή φυλάκισης ενός (1) τουλάχιστον έτους.</w:t>
      </w:r>
    </w:p>
    <w:p>
      <w:pPr>
        <w:pStyle w:val="MainText"/>
        <w:spacing w:before="120" w:after="0"/>
        <w:rPr>
          <w:lang w:val="el" w:eastAsia="el"/>
        </w:rPr>
      </w:pPr>
      <w:r>
        <w:rPr>
          <w:b/>
          <w:bCs/>
          <w:lang w:val="el" w:eastAsia="el"/>
        </w:rPr>
        <w:t>4.</w:t>
      </w:r>
      <w:r>
        <w:rPr>
          <w:lang w:val="el" w:eastAsia="el"/>
        </w:rPr>
        <w:t xml:space="preserve"> Το διοικητικό πρόστιμο της παρ. 3 αποτελεί έσοδο του κρατικού προϋπολογισμού.</w:t>
      </w:r>
    </w:p>
    <w:p>
      <w:pPr>
        <w:pStyle w:val="MainText"/>
        <w:spacing w:before="120" w:after="0"/>
        <w:rPr>
          <w:lang w:val="el" w:eastAsia="el"/>
        </w:rPr>
      </w:pPr>
      <w:r>
        <w:rPr>
          <w:b/>
          <w:bCs/>
          <w:lang w:val="el" w:eastAsia="el"/>
        </w:rPr>
        <w:t>5.</w:t>
      </w:r>
      <w:r>
        <w:rPr>
          <w:lang w:val="el" w:eastAsia="el"/>
        </w:rPr>
        <w:t xml:space="preserve"> Το σύνολο των προϊόντων υλοτομίας που επιχειρεί- ται να εξαχθούν κατάσχεται, εφαρμοζομένης της παρ. 2 του άρθρου 158 του ν. 2960/2001. Τα κατασχεμένα παραδίδονται άμεσα στην κατά τόπον αρμόδια Διεύθυνση Ανάπτυξης της οικείας Περιφέρειας, ώστε να διατίθενται για τη θεραπεία άμεσης κοινωνικής ανάγκης ή την εκπλήρωση κοινωφελούς σκοπού ή τη διενέργεια δράσεων φιλανθρωπικού χαρακτήρα.</w:t>
      </w:r>
    </w:p>
    <w:p>
      <w:pPr>
        <w:pStyle w:val="MainText"/>
        <w:spacing w:before="120" w:after="0"/>
        <w:rPr>
          <w:lang w:val="el" w:eastAsia="el"/>
        </w:rPr>
      </w:pPr>
      <w:r>
        <w:rPr>
          <w:b/>
          <w:bCs/>
          <w:lang w:val="el" w:eastAsia="el"/>
        </w:rPr>
        <w:t>6.</w:t>
      </w:r>
      <w:r>
        <w:rPr>
          <w:lang w:val="el" w:eastAsia="el"/>
        </w:rPr>
        <w:t xml:space="preserve"> Με κοινή απόφαση των Υπουργών Ανάπτυξης και Επενδύσεων, Οικονομικών, Εσωτερικών και του Διοικητή της Ανεξάρτητης Αρχής Δημοσίων Εσόδων μπορούν να εξειδικεύονται ζητήματα που αφορούν στη διαδικασία ελέγχου για την εφαρμογή του παρόντος, στη διαδικασία είσπραξης των προστίμων και στη διάθεση των κατασχε- μένων προϊόντων υλοτομίας.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Λειτουργία καταστημάτων την τελευταία</w:t>
      </w:r>
    </w:p>
    <w:p>
      <w:pPr>
        <w:spacing w:before="240" w:after="240"/>
        <w:rPr>
          <w:lang w:val="el" w:eastAsia="el"/>
        </w:rPr>
      </w:pPr>
      <w:r>
        <w:rPr>
          <w:b/>
          <w:bCs/>
          <w:lang w:val="el" w:eastAsia="el"/>
        </w:rPr>
        <w:t>Κυριακή του Νοεμβρίου του 2022 -</w:t>
      </w:r>
    </w:p>
    <w:p>
      <w:pPr>
        <w:spacing w:before="240" w:after="240"/>
        <w:rPr>
          <w:lang w:val="el" w:eastAsia="el"/>
        </w:rPr>
      </w:pPr>
      <w:r>
        <w:rPr>
          <w:b/>
          <w:bCs/>
          <w:lang w:val="el" w:eastAsia="el"/>
        </w:rPr>
        <w:t>Εξουσιοδοτική διάταξη</w:t>
      </w:r>
    </w:p>
    <w:p>
      <w:pPr>
        <w:spacing w:before="240" w:after="240"/>
        <w:rPr>
          <w:lang w:val="el" w:eastAsia="el"/>
        </w:rPr>
      </w:pPr>
      <w:r>
        <w:rPr>
          <w:lang w:val="el" w:eastAsia="el"/>
        </w:rPr>
        <w:t>Επιτρέπεται η λειτουργία των εμπορικών καταστημάτων την Κυριακή, 27 Νοεμβρίου 2022, σε ολόκληρη την Επικράτεια, από ώρα 11:00 έως ώρα 20:00. Η ημερομηνία της προαιρετικής λειτουργίας του πρώτου εδαφίου μπορεί να μετατεθεί με απόφαση του Υπουργού Ανάπτυξης και Επενδύσεων.</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Προσωρινός Μηχανισμός Επιστροφής Μέρους Εσόδων από τους Προμηθευτές Ηλεκτρικής Ενέργειας</w:t>
      </w:r>
    </w:p>
    <w:p>
      <w:pPr>
        <w:pStyle w:val="MainText"/>
        <w:spacing w:before="120" w:after="0"/>
        <w:rPr>
          <w:lang w:val="el" w:eastAsia="el"/>
        </w:rPr>
      </w:pPr>
      <w:r>
        <w:rPr>
          <w:b/>
          <w:bCs/>
          <w:lang w:val="el" w:eastAsia="el"/>
        </w:rPr>
        <w:t>1.</w:t>
      </w:r>
      <w:r>
        <w:rPr>
          <w:lang w:val="el" w:eastAsia="el"/>
        </w:rPr>
        <w:t xml:space="preserve"> Θεσπίζεται Προσωρινός Μηχανισμός Επιστροφής Μέρους Εσόδων Λιανικής Αγοράς, ο οποίος εφαρμόζεται για το χρονικό διάστημα ισχύος της παρ. 1 του άρθρου 138 του ν. 4951/2022 (Α’ 129). Κατ’ εφαρμογή του Προσωρινού Μηχανισμού, επιβάλλεται στους Προμηθευτές Ηλεκτρικής Ενέργειας έκτακτη εισφορά, βάσει των υπερ- βαλλόντων εσόδων τους από τη δραστηριοποίηση εκά- στου στην εγχώρια λιανική αγορά ηλεκτρικής ενέργειας κατά την περίοδο του πρώτου εδαφίου.</w:t>
      </w:r>
    </w:p>
    <w:p>
      <w:pPr>
        <w:pStyle w:val="MainText"/>
        <w:spacing w:before="120" w:after="0"/>
        <w:rPr>
          <w:lang w:val="el" w:eastAsia="el"/>
        </w:rPr>
      </w:pPr>
      <w:r>
        <w:rPr>
          <w:b/>
          <w:bCs/>
          <w:lang w:val="el" w:eastAsia="el"/>
        </w:rPr>
        <w:t>2.</w:t>
      </w:r>
      <w:r>
        <w:rPr>
          <w:lang w:val="el" w:eastAsia="el"/>
        </w:rPr>
        <w:t xml:space="preserve"> Για τον υπολογισμό των υπερβαλλόντων εσόδων, ορίζεται ανά μήνα (εφεξής μήνας εξέτασης) Εύλογη Μέ- γιστη Τιμή Λιανικής (Ε.Μ.Τ.Λ.), με βάση το μέσο κόστος προμήθειας ηλεκτρικής ενέργειας, προσαυξημένο με εύλογο μέγιστο περιθώριο κέρδους και λαμβάνοντας υπόψη εύλογο ποσοστό για απώλειες συστήματος, λειτουργικό κόστος και επισφάλειες, όπως καθορίζεται με την κοινή απόφαση της παρ. 12.</w:t>
      </w:r>
    </w:p>
    <w:p>
      <w:pPr>
        <w:spacing w:before="240" w:after="240"/>
        <w:rPr>
          <w:lang w:val="el" w:eastAsia="el"/>
        </w:rPr>
      </w:pPr>
      <w:r>
        <w:rPr>
          <w:lang w:val="el" w:eastAsia="el"/>
        </w:rPr>
        <w:t>Επιπλέον, υπολογίζεται η Μέση Τιμή Χρέωσης (Μ.Τ.Χ.) ανά μήνα εξέτασης, ως η μεσοσταθμική τιμή χρέωσης επί των τιμολογίων που παρέχονται από τον Προμηθευτή, επί τη βάσει των καταναλώσεων ανά τιμολόγιο, εξαιρουμένης κάθε κρατικής επιδότησης. Για τον υπολογισμό της Μ.Τ.Χ. ανά μήνα εξέτασης, δύναται να συνυπολογίζονται και τύποι τιμολογίων σταθερής χρέωσης των καταναλωτών, κατά προτεραιότητα, χαμηλής τάσης, καθώς και εκπτώσεις που παρέχουν οι Προμηθευτές, όπως καθορίζεται με την κοινή απόφαση της παρ. 12.</w:t>
      </w:r>
    </w:p>
    <w:p>
      <w:pPr>
        <w:pStyle w:val="MainText"/>
        <w:spacing w:before="120" w:after="0"/>
        <w:rPr>
          <w:lang w:val="el" w:eastAsia="el"/>
        </w:rPr>
      </w:pPr>
      <w:r>
        <w:rPr>
          <w:b/>
          <w:bCs/>
          <w:lang w:val="el" w:eastAsia="el"/>
        </w:rPr>
        <w:t>3.</w:t>
      </w:r>
      <w:r>
        <w:rPr>
          <w:lang w:val="el" w:eastAsia="el"/>
        </w:rPr>
        <w:t xml:space="preserve"> Τα υπερβάλλοντα έσοδα ανά μήνα για κάθε Προμηθευτή υπολογίζονται ως το γινόμενο της διαφοράς της Μ.Τ.Χ. και της αντίστοιχης Ε.Μ.Τ.Λ., επί την ποσότητα της προμη- θευόμενης ανά μήνα ηλεκτρικής ενέργειας, αφαιρουμένων των ποσών που ο υπόχρεος έχει καταβάλει στο πλαίσιο εκκαθάρισης μηνιαίων συμβάσεων αγοράς ηλεκτρικής ενέργειας και μηνιαίων πράξεων αντιστάθμισης κινδύνου, όπως καθορίζεται με την κοινή απόφαση της παρ. 12.</w:t>
      </w:r>
    </w:p>
    <w:p>
      <w:pPr>
        <w:pStyle w:val="MainText"/>
        <w:spacing w:before="120" w:after="0"/>
        <w:rPr>
          <w:lang w:val="el" w:eastAsia="el"/>
        </w:rPr>
      </w:pPr>
      <w:r>
        <w:rPr>
          <w:b/>
          <w:bCs/>
          <w:lang w:val="el" w:eastAsia="el"/>
        </w:rPr>
        <w:t>4.</w:t>
      </w:r>
      <w:r>
        <w:rPr>
          <w:lang w:val="el" w:eastAsia="el"/>
        </w:rPr>
        <w:t xml:space="preserve"> Η εισφορά της παρ. 1 ισούται με τα συνολικά υπερ- βάλλοντα έσοδα του μήνα εξέτασης για κάθε Προμηθευτή, εφόσον αυτά έχουν θετική τιμή. Αν τα υπερβάλλοντα έσοδα του μήνα εξέτασης λάβουν αρνητική τιμή, η εισφορά μήνα για τον Προμηθευτή λογίζεται ως μηδενική και το εν λόγω αρνητικό ποσό απομειώνει την έκτακτη εισφορά των αμέσως επόμενων μηνών, μέχρι το πέρας εφαρμογής του παρόντος Προσωρινού Μηχανισμού.</w:t>
      </w:r>
    </w:p>
    <w:p>
      <w:pPr>
        <w:pStyle w:val="MainText"/>
        <w:spacing w:before="120" w:after="0"/>
        <w:rPr>
          <w:lang w:val="el" w:eastAsia="el"/>
        </w:rPr>
      </w:pPr>
      <w:r>
        <w:rPr>
          <w:b/>
          <w:bCs/>
          <w:lang w:val="el" w:eastAsia="el"/>
        </w:rPr>
        <w:t>5.</w:t>
      </w:r>
      <w:r>
        <w:rPr>
          <w:lang w:val="el" w:eastAsia="el"/>
        </w:rPr>
        <w:t xml:space="preserve"> Αν κατά τον χρόνο υπολογισμού της εισφοράς, οι μετρήσεις ορισμένων καταναλώσεων επί λογαριασμών κατανάλωσης δεν είναι διαθέσιμες, υπολογίζεται και επιβάλλεται προσωρινό ποσό εισφοράς με βάση την ενέργεια που χρεώθηκε σε έκαστο λογαριασμό κατανάλωσης. Με το πέρας ισχύος του παρόντος Προσωρινού Μηχανισμού υπολογίζεται το οριστικό ποσό της εισφοράς βάσει των διαθέσιμων μετρήσεων κατανάλωσης του μήνα εξέτασης και πραγματοποιείται η τελική εκκαθάριση.</w:t>
      </w:r>
    </w:p>
    <w:p>
      <w:pPr>
        <w:pStyle w:val="MainText"/>
        <w:spacing w:before="120" w:after="0"/>
        <w:rPr>
          <w:lang w:val="el" w:eastAsia="el"/>
        </w:rPr>
      </w:pPr>
      <w:r>
        <w:rPr>
          <w:b/>
          <w:bCs/>
          <w:lang w:val="el" w:eastAsia="el"/>
        </w:rPr>
        <w:t>6.</w:t>
      </w:r>
      <w:r>
        <w:rPr>
          <w:lang w:val="el" w:eastAsia="el"/>
        </w:rPr>
        <w:t xml:space="preserve"> Μέχρι το πέρας του χρονικού διαστήματος ισχύος του παρόντος Προσωρινού Μηχανισμού επιβάλλεται και εισπράττεται σε τριμηνιαία βάση το εξήντα τοις εκατό (60%) της έκτακτης εισφοράς που υπολογίζεται κατά τις παρ. 2 έως 5 και το υπολειπόμενο σαράντα τοις εκατό (40%) με το πέρας του χρονικού διαστήματος ισχύος αυτού. Μετά το πέρας ισχύος του παρόντος Προσωρινού Μηχανισμού πραγματοποιείται συνολική εκκαθάριση της εισφοράς που αντιστοιχεί στα τυχόν υπερβάλλο- ντα έσοδα του συνόλου της περιόδου. Αν η συνολικώς αντιστοιχούσα έκτακτη εισφορά υπολείπεται αυτής που αρχικά υπολογίσθηκε βάσει των περιοδικών τριμηνιαίων εκκαθαρίσεων, λαμβάνοντας υπόψη την εκκαθάριση της παρ. 5, τότε απομειώνεται αναλόγως το υπολειπόμενο σαράντα τοις εκατό (40%) της εισφοράς που δεν είχε επιβληθεί και βεβαιωθεί ακόμη και μέχρι του ύψους αυτού. Σε κάθε περίπτωση δεν επιστρέφονται ούτε αναζητούνται νομίμως συμψηφισθέντα ή εισπραχθέντα ποσά.</w:t>
      </w:r>
    </w:p>
    <w:p>
      <w:pPr>
        <w:pStyle w:val="MainText"/>
        <w:spacing w:before="120" w:after="0"/>
        <w:rPr>
          <w:lang w:val="el" w:eastAsia="el"/>
        </w:rPr>
      </w:pPr>
      <w:r>
        <w:rPr>
          <w:b/>
          <w:bCs/>
          <w:lang w:val="el" w:eastAsia="el"/>
        </w:rPr>
        <w:t>7.</w:t>
      </w:r>
      <w:r>
        <w:rPr>
          <w:lang w:val="el" w:eastAsia="el"/>
        </w:rPr>
        <w:t xml:space="preserve"> Ειδικά για την πρώτη εφαρμογή του παρόντος, το εξήντα τοις εκατό (60%) της από 1ης Αυγούστου 2022 έως 31ης Οκτωβρίου 2022 έκτακτης εισφοράς που υπολογίζεται επί των υπερβαλλόντων εσόδων της περιόδου αυτής επιβάλλεται έως την 23η Δεκεμβρίου 2022. Κατόπιν η έκτακτη εισφορά επιβάλλεται σε τριμηνιαία βάση και αφορά περιοδικά τους αμέσως επόμενους τρεις (3) μήνες.</w:t>
      </w:r>
    </w:p>
    <w:p>
      <w:pPr>
        <w:pStyle w:val="MainText"/>
        <w:spacing w:before="120" w:after="0"/>
        <w:rPr>
          <w:lang w:val="el" w:eastAsia="el"/>
        </w:rPr>
      </w:pPr>
      <w:r>
        <w:rPr>
          <w:b/>
          <w:bCs/>
          <w:lang w:val="el" w:eastAsia="el"/>
        </w:rPr>
        <w:t>8.</w:t>
      </w:r>
      <w:r>
        <w:rPr>
          <w:lang w:val="el" w:eastAsia="el"/>
        </w:rPr>
        <w:t xml:space="preserve"> Το ποσό της εισφοράς της παρ. 1 υπολογίζεται από τη Ρυθμιστική Αρχή Ενέργειας (Ρ.Α.Ε.), ανά προμηθευτή, και επιβάλλεται από το Υπουργείο Περιβάλλοντος και Ενέργειας. Η πράξη προσδιορισμού του ανωτέρω ποσού κοινοποιείται επ’ αποδείξει αμελλητί στον υπόχρεο.</w:t>
      </w:r>
    </w:p>
    <w:p>
      <w:pPr>
        <w:spacing w:before="240" w:after="240"/>
        <w:rPr>
          <w:lang w:val="el" w:eastAsia="el"/>
        </w:rPr>
      </w:pPr>
      <w:r>
        <w:rPr>
          <w:lang w:val="el" w:eastAsia="el"/>
        </w:rPr>
        <w:t>Στη συνέχεια: α) εφόσον εκκρεμούν αιτήματα πληρωμής από τον ειδικό λογαριασμό «Ταμείο Ενεργειακής Μετάβασης» (Τ.Ε.Μ.) προς τον Προμηθευτή, κατά τον χρόνο που βεβαιώνεται η εισφορά, ο Διαχειριστής Α.Π.Ε. και Εγγυήσεων Προέλευσης (Δ.Α.Π.Ε.Ε.Π. A.E.), ως διαχειριστής του ανωτέρω ειδικού λογαριασμού, συμψηφίζει απαιτήσεις σύμφωνα με την παρ. 17 του άρθρου 61 του ν. 4839/2022, και β) εφόσον υπάρχει υπολειπόμενο ποσό, η Δ.Α.Π.Ε.Ε.Π. Α.Ε. αποστέλλει τα σχετικά στοιχεία στο Υπουργείο Περιβάλλοντος και Ενέργειας, το οποίο αποστέλλει τα σχετικά δεδομένα μαζί με τον οικείο χρηματικό κατάλογο ανά προμηθευτή στην Ανεξάρτητη Αρχή Δημοσίων Εσόδων και το υπολειπόμενο ποσό βεβαιώνεται ταμειακά και εισπράττεται, ως δημόσιο έσοδο, σύμφωνα με τον Κώδικα Εισπράξεως Δημοσίων Εσόδων (ν. 4978/2022, Α’ 190).</w:t>
      </w:r>
    </w:p>
    <w:p>
      <w:pPr>
        <w:spacing w:before="240" w:after="240"/>
        <w:rPr>
          <w:lang w:val="el" w:eastAsia="el"/>
        </w:rPr>
      </w:pPr>
      <w:r>
        <w:rPr>
          <w:lang w:val="el" w:eastAsia="el"/>
        </w:rPr>
        <w:t>Τα έσοδα από την εισφορά αποδίδονται στη Δ.Α.Π.Ε.Ε.Π. Α.Ε. ως διαχειριστή του Τ.Ε.Μ. για την επιδότηση λογαριασμών ηλεκτρικής ενέργειας σε καταναλωτές.</w:t>
      </w:r>
    </w:p>
    <w:p>
      <w:pPr>
        <w:pStyle w:val="MainText"/>
        <w:spacing w:before="120" w:after="0"/>
        <w:rPr>
          <w:lang w:val="el" w:eastAsia="el"/>
        </w:rPr>
      </w:pPr>
      <w:r>
        <w:rPr>
          <w:b/>
          <w:bCs/>
          <w:lang w:val="el" w:eastAsia="el"/>
        </w:rPr>
        <w:t>9.</w:t>
      </w:r>
      <w:r>
        <w:rPr>
          <w:lang w:val="el" w:eastAsia="el"/>
        </w:rPr>
        <w:t xml:space="preserve"> Οι διαφορές που γεννώνται στο πλαίσιο εφαρμογής του παρόντος υπόκεινται αποκλειστικώς στη δικαιοδοσία των διοικητικών δικαστηρίων. Η προθεσμία και η άσκηση ενδίκων βοηθημάτων κατά των πράξεων προσδιορισμού και ταμειακής βεβαιώσεως δεν αναστέλλουν την εκτέλεση αυτών.</w:t>
      </w:r>
    </w:p>
    <w:p>
      <w:pPr>
        <w:pStyle w:val="MainText"/>
        <w:spacing w:before="120" w:after="0"/>
        <w:rPr>
          <w:lang w:val="el" w:eastAsia="el"/>
        </w:rPr>
      </w:pPr>
      <w:r>
        <w:rPr>
          <w:b/>
          <w:bCs/>
          <w:lang w:val="el" w:eastAsia="el"/>
        </w:rPr>
        <w:t>10.</w:t>
      </w:r>
      <w:r>
        <w:rPr>
          <w:lang w:val="el" w:eastAsia="el"/>
        </w:rPr>
        <w:t xml:space="preserve"> Οι υπόχρεοι δύνανται, κατά τον προσδιορισμό των φορολογητέων κερδών για σκοπούς επιβολής φόρου εισοδήματος, να εκπίπτουν το ποσό της εισφοράς της παρ. 1, ως δαπάνη, σύμφωνα με τον Κώδικα Φορολογίας Εισοδήματος (ν. 4172/2013, Α’ 167).</w:t>
      </w:r>
    </w:p>
    <w:p>
      <w:pPr>
        <w:pStyle w:val="MainText"/>
        <w:spacing w:before="120" w:after="0"/>
        <w:rPr>
          <w:lang w:val="el" w:eastAsia="el"/>
        </w:rPr>
      </w:pPr>
      <w:r>
        <w:rPr>
          <w:b/>
          <w:bCs/>
          <w:lang w:val="el" w:eastAsia="el"/>
        </w:rPr>
        <w:t>11.</w:t>
      </w:r>
      <w:r>
        <w:rPr>
          <w:lang w:val="el" w:eastAsia="el"/>
        </w:rPr>
        <w:t xml:space="preserve"> Ο Δ.Α.Π.Ε.Ε.Π. A.E., ο Διαχειριστής του Ελληνικού Δικτύου Διανομής Ηλεκτρικής Ενέργειας και ο Ανεξάρτητος Διαχειριστής Μεταφοράς Ηλεκτρικής Ενέργειας, καθώς και οι Προμηθευτές Ηλεκτρικής Ενέργειας, παρέχουν στη Ρ.Α.Ε. και το Υπουργείο Περιβάλλοντος και Ενέργειας όλα τα απαιτούμενα στοιχεία για τις ανάγκες εφαρμογής και εποπτείας του παρόντος.</w:t>
      </w:r>
    </w:p>
    <w:p>
      <w:pPr>
        <w:pStyle w:val="MainText"/>
        <w:spacing w:before="120" w:after="0"/>
        <w:rPr>
          <w:lang w:val="el" w:eastAsia="el"/>
        </w:rPr>
      </w:pPr>
      <w:r>
        <w:rPr>
          <w:b/>
          <w:bCs/>
          <w:lang w:val="el" w:eastAsia="el"/>
        </w:rPr>
        <w:t>12.</w:t>
      </w:r>
      <w:r>
        <w:rPr>
          <w:lang w:val="el" w:eastAsia="el"/>
        </w:rPr>
        <w:t xml:space="preserve"> Με κοινή απόφαση των Υπουργών Περιβάλλοντος και Ενέργειας και Οικονομικών καθορίζονται ή μεταβάλλονται: α) παραδοχές, ζητήματα εφαρμογής της μεθοδολογίας, παράμετροι, κριτήρια συνυπολογισμού τύπων τιμολογίων και κάθε ειδικότερο θέμα για τον υπολογισμό της εισφοράς, κατόπιν πρότασης της Ρ.Α.Ε.,</w:t>
      </w:r>
    </w:p>
    <w:p>
      <w:pPr>
        <w:pStyle w:val="StructureList1"/>
        <w:spacing w:before="120" w:after="0"/>
        <w:rPr>
          <w:lang w:val="el" w:eastAsia="el"/>
        </w:rPr>
      </w:pPr>
      <w:r>
        <w:rPr>
          <w:lang w:val="el" w:eastAsia="el"/>
        </w:rPr>
        <w:t>β)</w:t>
      </w:r>
      <w:r>
        <w:rPr>
          <w:lang w:val="en" w:eastAsia="en"/>
        </w:rPr>
        <w:tab/>
      </w:r>
      <w:r>
        <w:rPr>
          <w:lang w:val="el" w:eastAsia="el"/>
        </w:rPr>
        <w:t>η διαδικασία και ο χρόνος επιβολής, βεβαίωσης, είσπραξης και απόδοσης της εισφοράς στο Τ.Ε.Μ., ο τύπος και το περιεχόμενο της πράξης επιβολής, τα αρμόδια όργανα για την έκδοσή της, και</w:t>
      </w:r>
    </w:p>
    <w:p>
      <w:pPr>
        <w:pStyle w:val="StructureList1"/>
        <w:spacing w:before="120" w:after="0"/>
        <w:rPr>
          <w:lang w:val="el" w:eastAsia="el"/>
        </w:rPr>
      </w:pPr>
      <w:r>
        <w:rPr>
          <w:lang w:val="el" w:eastAsia="el"/>
        </w:rPr>
        <w:t>γ)</w:t>
      </w:r>
      <w:r>
        <w:rPr>
          <w:lang w:val="en" w:eastAsia="en"/>
        </w:rPr>
        <w:tab/>
      </w:r>
      <w:r>
        <w:rPr>
          <w:lang w:val="el" w:eastAsia="el"/>
        </w:rPr>
        <w:t>κάθε σχετική λεπτομέρεια και διαδικασία.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Υπηρεσία Μείωσης Ζήτησης Ηλεκτρικής Ενέργειας - Προσθήκη άρθρου 143Ζ στον ν. 4001/2011</w:t>
      </w:r>
    </w:p>
    <w:p>
      <w:pPr>
        <w:spacing w:before="240" w:after="240"/>
        <w:rPr>
          <w:lang w:val="el" w:eastAsia="el"/>
        </w:rPr>
      </w:pPr>
      <w:r>
        <w:rPr>
          <w:lang w:val="el" w:eastAsia="el"/>
        </w:rPr>
        <w:t>Στον ν. 4001/2011 (Α’ 179) προστίθεται άρθρο 143Z ως εξής:</w:t>
      </w:r>
    </w:p>
    <w:p>
      <w:pPr>
        <w:spacing w:before="240" w:after="240"/>
        <w:rPr>
          <w:lang w:val="el" w:eastAsia="el"/>
        </w:rPr>
      </w:pPr>
      <w:r>
        <w:rPr>
          <w:lang w:val="el" w:eastAsia="el"/>
        </w:rPr>
        <w:t>«Άρθρο 143Z</w:t>
      </w:r>
    </w:p>
    <w:p>
      <w:pPr>
        <w:spacing w:before="240" w:after="240"/>
        <w:rPr>
          <w:lang w:val="el" w:eastAsia="el"/>
        </w:rPr>
      </w:pPr>
      <w:r>
        <w:rPr>
          <w:lang w:val="el" w:eastAsia="el"/>
        </w:rPr>
        <w:t>Υπηρεσία Μείωσης Ζήτησης Ηλεκτρικής Ενέργειας</w:t>
      </w:r>
    </w:p>
    <w:p>
      <w:pPr>
        <w:spacing w:before="240" w:after="240"/>
        <w:rPr>
          <w:lang w:val="el" w:eastAsia="el"/>
        </w:rPr>
      </w:pPr>
      <w:r>
        <w:rPr>
          <w:lang w:val="el" w:eastAsia="el"/>
        </w:rPr>
        <w:t>1. Συστήνεται Υπηρεσία Μείωσης Ηλεκτρικής Ενέργειας, ως υποχρέωση των καταναλωτών ηλεκτρικής ενέργειας ή των φορέων σωρευτικής εκπροσώπησης φορτίου, για τον περιορισμό της ενεργού ισχύος που καταναλίσκουν ή εκπροσωπούν κατά τις ώρες αιχμής, τουλάχιστον κατά μια ποσότητα, όπως αυτή ορίζεται στην απόφαση της παρ. 4, έναντι οικονομικού αντισταθμίσματος.</w:t>
      </w:r>
    </w:p>
    <w:p>
      <w:pPr>
        <w:spacing w:before="240" w:after="240"/>
        <w:rPr>
          <w:lang w:val="el" w:eastAsia="el"/>
        </w:rPr>
      </w:pPr>
      <w:r>
        <w:rPr>
          <w:lang w:val="el" w:eastAsia="el"/>
        </w:rPr>
        <w:t>2. Το οικονομικό αντιστάθμισμα που δικαιούνται οι πάροχοι της Υπηρεσίας Μείωσης Ζήτησης Ηλεκτρικής Ενέργειας, καταβάλλεται από τα έσοδα του ειδικού λογαριασμού «Ταμείο Ενεργειακής Μετάβασης (Τ.Ε.Μ.)». Για τον σκοπό αυτόν, οι αρμόδιοι διαχειριστές κοινοποιούν στον Διαχειριστή Α.Π.Ε. και Εγγυήσεων Προέλευσης (Δ.Α.Π.Ε.Ε.Π. Α.Ε.), ως διαχειρίστρια εταιρεία του Τ.Ε.Μ., σε μηνιαία βάση, κατάσταση με την αποζημίωση που δικαιούται κάθε πάροχος της υπηρεσίας, προκειμένου η Δ.Α.Π.Ε.Ε.Π. Α.Ε. να προβαίνει στις σχετικές πιστώσεις.</w:t>
      </w:r>
    </w:p>
    <w:p>
      <w:pPr>
        <w:spacing w:before="240" w:after="240"/>
        <w:rPr>
          <w:lang w:val="el" w:eastAsia="el"/>
        </w:rPr>
      </w:pPr>
      <w:r>
        <w:rPr>
          <w:lang w:val="el" w:eastAsia="el"/>
        </w:rPr>
        <w:t>3. Αν οι πάροχοι της Υπηρεσίας Μείωσης Ζήτησης Ηλεκτρικής Ενέργειας δεν εξασφαλίσουν τον περιορισμό της ενεργού ισχύος που καταναλίσκουν ή εκπροσωπούν κατά τις ώρες αιχμής, τουλάχιστον κατά τη συμπεφωνημένη ποσότητα, επιβάλλονται χρεώσεις μη συμμορφώσεως, οι οποίες αποτελούν έσοδα του Τ.Ε.Μ..</w:t>
      </w:r>
    </w:p>
    <w:p>
      <w:pPr>
        <w:spacing w:before="240" w:after="240"/>
        <w:rPr>
          <w:lang w:val="el" w:eastAsia="el"/>
        </w:rPr>
      </w:pPr>
      <w:r>
        <w:rPr>
          <w:lang w:val="el" w:eastAsia="el"/>
        </w:rPr>
        <w:t>4. Με κοινή απόφαση των Υπουργών Περιβάλλοντος και Ενέργειας και Οικονομικών καθορίζονται η περιγραφή της Υπηρεσίας Μείωσης Ζήτησης Ηλεκτρικής Ενέργειας, ο τρόπος συμμετοχής και επιλογής των καταναλωτών, οι κατηγορίες καταναλωτών που δικαιούνται να συμμετέχουν και να παρέχουν την υπηρεσία αυτή και οι υποχρεώσεις των αρμοδίων διαχειριστών, ιδίως της Δ.Α.Π.Ε.Ε.Π. Α.Ε., καθώς και των συμμετεχό- ντων καταναλωτών για την εφαρμογή της.</w:t>
      </w:r>
    </w:p>
    <w:p>
      <w:pPr>
        <w:spacing w:before="240" w:after="240"/>
        <w:rPr>
          <w:lang w:val="el" w:eastAsia="el"/>
        </w:rPr>
      </w:pPr>
      <w:r>
        <w:rPr>
          <w:lang w:val="el" w:eastAsia="el"/>
        </w:rPr>
        <w:t>Με την απόφαση καθορίζονται, επίσης, οι προϋποθέσεις παροχής της υπηρεσίας, οι ώρες αιχμής κατά τις οποίες παρέχεται, ο τρόπος προσδιορισμού της ποσότητας μείωσης της καταναλισκόμενης ή εκπροσωπούμενης ενέργειας, ο τρόπος προσδιορισμού, ο τρόπος, ο χρόνος και οι προϋποθέσεις καταβολής του οικονομικού αντισταθμίσματος των επιλεγομένων συμμετεχόντων για παροχή της υπηρεσίας και το ύψος των χρεώσεων μη συμμορφώσεως της παρ. 3, καθώς και κάθε σχετική λεπτομέρεια.</w:t>
      </w:r>
    </w:p>
    <w:p>
      <w:pPr>
        <w:spacing w:before="240" w:after="240"/>
        <w:rPr>
          <w:lang w:val="el" w:eastAsia="el"/>
        </w:rPr>
      </w:pPr>
      <w:r>
        <w:rPr>
          <w:lang w:val="el" w:eastAsia="el"/>
        </w:rPr>
        <w:t>5. Στην κοινή απόφαση της παρ. 4 δύναται, μετά από σχετική εισήγηση του αρμόδιου Διαχειριστή Συστήματος και Δικτύου και γνώμη της Ρυθμιστικής Αρχής Ενέργειας, να καθορίζονται ιδίως η μέθοδος και τα κριτήρια επιλογής, οι κατηγορίες καταναλωτών που υποχρεούνται να παρέχουν την Υπηρεσία Μείωσης Ζήτησης Ηλεκτρικής Ενέργειας, καθώς και η εύλογη αποζημίωσή τους, σε περίπτωση που η συμμετοχή τους στην υπηρεσία δεν κρίνεται επαρκής για την κάλυψη του στόχου του άρθρου 4 του Κανονισμού (ΕΕ) 2022/1854 του Συμβουλίου της 6ης Οκτωβρίου 2022 «σχετικά με την παρέμβαση έκτακτης ανάγκης για την αντιμετώπιση των υψηλών τιμών ενέργειας» (LI 261).</w:t>
      </w:r>
    </w:p>
    <w:p>
      <w:pPr>
        <w:spacing w:before="240" w:after="240"/>
        <w:rPr>
          <w:lang w:val="el" w:eastAsia="el"/>
        </w:rPr>
      </w:pPr>
      <w:r>
        <w:rPr>
          <w:lang w:val="el" w:eastAsia="el"/>
        </w:rPr>
        <w:t>6. Η Υπηρεσία Μείωσης Ζήτησης Ηλεκτρικής Ενέργειας του παρόντος δύναται να παρέχεται για το χρονικό διάστημα από 1ης Δεκεμβρίου 2022 έως 31 Μαρτίου 2023.»</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Ταμείο Ενεργειακής Μετάβασης - Προσθήκη παρ. 15, 16 και 17 στο εξηκοστό πρώτο άρθρο του ν. 4839/2021</w:t>
      </w:r>
    </w:p>
    <w:p>
      <w:pPr>
        <w:spacing w:before="240" w:after="240"/>
        <w:rPr>
          <w:lang w:val="el" w:eastAsia="el"/>
        </w:rPr>
      </w:pPr>
      <w:r>
        <w:rPr>
          <w:lang w:val="el" w:eastAsia="el"/>
        </w:rPr>
        <w:t>Στο εξηκοστό πρώτο άρθρο του ν. 4839/2021 (Α’ 181), περί συστάσεως ειδικού λογαριασμού με την ονομασία «Ταμείο Ενεργειακής Μετάβασης (Τ.Ε.Μ.)», προστίθενται παρ. 15, 16 και 17 ως εξής:</w:t>
      </w:r>
    </w:p>
    <w:p>
      <w:pPr>
        <w:spacing w:before="240" w:after="240"/>
        <w:rPr>
          <w:lang w:val="el" w:eastAsia="el"/>
        </w:rPr>
      </w:pPr>
      <w:r>
        <w:rPr>
          <w:lang w:val="el" w:eastAsia="el"/>
        </w:rPr>
        <w:t>«1 5. Από τα έσοδα του ειδικού λογαριασμού της παρ. 1 χρηματοδοτείται το οικονομικό αντιστάθμισμα που καταβάλλεται στους παρόχους Υπηρεσίας Μείωσης Ζήτησης Ηλεκτρικής Ενέργειας για τις υπηρεσίες που παρέχουν, σύμφωνα με το άρθρο 143Ζ του ν. 4001/2011.</w:t>
      </w:r>
    </w:p>
    <w:p>
      <w:pPr>
        <w:spacing w:before="240" w:after="240"/>
        <w:rPr>
          <w:lang w:val="el" w:eastAsia="el"/>
        </w:rPr>
      </w:pPr>
      <w:r>
        <w:rPr>
          <w:lang w:val="el" w:eastAsia="el"/>
        </w:rPr>
        <w:t>16. Οι χρεώσεις που επιβάλλονται λόγω μη συμμόρφωσης, στο πλαίσιο της παροχής της Υπηρεσίας Μείωσης Ζήτησης Ηλεκτρικής Ενέργειας, του άρθρου 143Ζ του ν. 4001/2011, αποτελούν έσοδα του ειδικού λογαριασμού της παρ. 1.</w:t>
      </w:r>
    </w:p>
    <w:p>
      <w:pPr>
        <w:spacing w:before="240" w:after="240"/>
        <w:rPr>
          <w:lang w:val="el" w:eastAsia="el"/>
        </w:rPr>
      </w:pPr>
      <w:r>
        <w:rPr>
          <w:lang w:val="el" w:eastAsia="el"/>
        </w:rPr>
        <w:t>17. H Δ.Α.Π.Ε.Ε.Π. A.E., ως διαχειριστής του ειδικού λογαριασμού της παρ. 1, δύναται να συμψηφίζει απαιτήσεις μεταξύ του Υπολογαριασμού Εσόδων και του Υπολογι- αριασμού Εξόδων του ειδικού λογαριασμού της παρ. 1, αν είναι καταχωρισμένες στον ίδιο διακριτό λογιστικό λογαριασμό και αφορούν τον ίδιο δικαιούχο ή υπόχρεο. Το πρώτο εδάφιο εφαρμόζεται και σε περίπτωση γεγενη- μένων προκαταβολών στους προμηθευτές ηλεκτρικής ενέργειας προ της 18ης Νοεμβρίου 2022, για τη χορήγηση των επιδοτήσεων στους τελικούς καταναλωτές, σύμφωνα με τις αποφάσεις που εκδίδονται κατ’ εξουσιοδότηση των παρ. 3 και 4. Ως προς τη διαδικασία εφαρμόζεται η υπό στοιχεία ΥΠΕΝ/ΔΗΕ/73978/911/28.7.2020 (Β’ 3149) απόφαση του Υφυπουργού Περιβάλλοντος και Ενέργειας.»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Πρόγραμμα «Ετοιμότητα Υποδομών για Έξυπνα Κτίρια» («Smart Readiness»)</w:t>
      </w:r>
    </w:p>
    <w:p>
      <w:pPr>
        <w:pStyle w:val="MainText"/>
        <w:spacing w:before="120" w:after="0"/>
        <w:rPr>
          <w:lang w:val="el" w:eastAsia="el"/>
        </w:rPr>
      </w:pPr>
      <w:r>
        <w:rPr>
          <w:b/>
          <w:bCs/>
          <w:lang w:val="el" w:eastAsia="el"/>
        </w:rPr>
        <w:t>1.</w:t>
      </w:r>
      <w:r>
        <w:rPr>
          <w:lang w:val="el" w:eastAsia="el"/>
        </w:rPr>
        <w:t xml:space="preserve"> Θεσπίζεται πρόγραμμα με τίτλο «Ετοιμότητα Υποδομών για Έξυπνα Κτίρια» («Smart Readiness») από το Υπουργείο Ψηφιακής Διακυβέρνησης, το οποίο χρηματοδοτείται από το Εθνικό Σχέδιο Ανάκαμψης και Ανθε- κτικότητας Ελλάδα 2.0., και υλοποιείται από την ανώνυμη εταιρεία του ελληνικού Δημοσίου «Κοινωνία της Πληροφορίας Μονοπρόσωπη Α.Ε.» (ΚτΠ Μ.Α.Ε.). Σκοπός του προγράμματος είναι η ενίσχυση κτιρίων μέσω συστήματος επιταγών (voucher), που διατίθενται στους δικαιούχους για την αντιστάθμιση του κόστους εγκατάστασης υποδομών, προκειμένου τα κτίρια να καταστούν «έξυπνα».</w:t>
      </w:r>
    </w:p>
    <w:p>
      <w:pPr>
        <w:pStyle w:val="MainText"/>
        <w:spacing w:before="120" w:after="0"/>
        <w:rPr>
          <w:lang w:val="el" w:eastAsia="el"/>
        </w:rPr>
      </w:pPr>
      <w:r>
        <w:rPr>
          <w:b/>
          <w:bCs/>
          <w:lang w:val="el" w:eastAsia="el"/>
        </w:rPr>
        <w:t>2.</w:t>
      </w:r>
      <w:r>
        <w:rPr>
          <w:lang w:val="el" w:eastAsia="el"/>
        </w:rPr>
        <w:t xml:space="preserve"> Επιλέξιμα είναι όλα τα κτίρια εντός των περιοχών παρέμβασης, όπως νομίμως εκπροσωπούνται από τους διαχειριστές τους. Ως διαχειριστής νοείται ο ιδιοκτήτης μονοκατοικίας ή ο εκπρόσωπος των ιδιοκτητών πολυκατοικίας. Δεν είναι επιλέξιμα και εξαιρούνται του προγράμματος τα κτίρια ιδιοκτησίας των φορέων γενικής κυβέρνησης της περ. (β) της παρ. 1 του άρθρου 14 του ν. 4270/2014 (Α’ 143).</w:t>
      </w:r>
    </w:p>
    <w:p>
      <w:pPr>
        <w:pStyle w:val="MainText"/>
        <w:spacing w:before="120" w:after="0"/>
        <w:rPr>
          <w:lang w:val="el" w:eastAsia="el"/>
        </w:rPr>
      </w:pPr>
      <w:r>
        <w:rPr>
          <w:b/>
          <w:bCs/>
          <w:lang w:val="el" w:eastAsia="el"/>
        </w:rPr>
        <w:t>3.</w:t>
      </w:r>
      <w:r>
        <w:rPr>
          <w:lang w:val="el" w:eastAsia="el"/>
        </w:rPr>
        <w:t xml:space="preserve"> Οι διαχειριστές δύνανται να επιλέξουν τον εγκατα- στάτη που θα αναλάβει την υλοποίηση των εργασιών από το Μητρώο Εγκαταστατών. Οι επιλεχθέντες εγκατα- στάτες υποβάλλουν αίτηση χρηματοδότησης για λογαριασμό των δικαιούχων της ενίσχυσης της παρ. 1, στην ηλεκτρονική πλατφόρμα του προγράμματος, την οποία αναπτύσσει, τηρεί και διαχειρίζεται η ΚτΠ Μ.Α.Ε..</w:t>
      </w:r>
    </w:p>
    <w:p>
      <w:pPr>
        <w:pStyle w:val="MainText"/>
        <w:spacing w:before="120" w:after="0"/>
        <w:rPr>
          <w:lang w:val="el" w:eastAsia="el"/>
        </w:rPr>
      </w:pPr>
      <w:r>
        <w:rPr>
          <w:b/>
          <w:bCs/>
          <w:lang w:val="el" w:eastAsia="el"/>
        </w:rPr>
        <w:t>4.</w:t>
      </w:r>
      <w:r>
        <w:rPr>
          <w:lang w:val="el" w:eastAsia="el"/>
        </w:rPr>
        <w:t xml:space="preserve"> Κάθε εγκαταστάτης, αφότου αυθεντικοποιηθεί με τους προσωπικούς κωδικούς του και τα διαπιστευτήρια της Γενικής Γραμματείας Πληροφοριακών Συστημάτων Δημόσιας Διοίκησης του Υπουργείου Ψηφιακής Διακυβέρνησης (taxisnet), σύμφωνα με το άρθρο 24 του ν. 4727/2020 (Α’ 184), εισέρχεται στην ηλεκτρονική πλατφόρμα και αιτείται την έκδοση της επιταγής για λογαριασμό των δικαιούχων, που τον έχουν εξουσιοδοτήσει. Η ΚτΠ Μ.Α.Ε. διενεργεί έλεγχο της τήρησης των προϋποθέσεων συμμετοχής στο πρόγραμμα και, εφόσον επιβεβαιώσει την επιλεξιμότητα των τελικών δικαιούχων, αυτοί λαμβάνουν την επιχορήγηση.</w:t>
      </w:r>
    </w:p>
    <w:p>
      <w:pPr>
        <w:pStyle w:val="MainText"/>
        <w:spacing w:before="120" w:after="0"/>
        <w:rPr>
          <w:lang w:val="el" w:eastAsia="el"/>
        </w:rPr>
      </w:pPr>
      <w:r>
        <w:rPr>
          <w:b/>
          <w:bCs/>
          <w:lang w:val="el" w:eastAsia="el"/>
        </w:rPr>
        <w:t>5.</w:t>
      </w:r>
      <w:r>
        <w:rPr>
          <w:lang w:val="el" w:eastAsia="el"/>
        </w:rPr>
        <w:t xml:space="preserve"> Η ΚτΠ Μ.Α.Ε.,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βάσει του Κανονισμού (ΕΕ) 2016/679 του Ευρωπαϊκού Κοινοβουλίου και του Συμβουλίου της 27ης Απριλίου 2016 (L 119) [Γενικού Κανονισμού για την Προστασία Δεδομένων και του ν. 4624/2019 (Α’ 137)].</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Ανάπτυξης και Επενδύσεων, Περιβάλλοντος και Ενέργειας και Ψηφιακής Διακυβέρνησης, καθορίζονται οι προϋποθέσεις, η διαδικασία, οι όροι, ο ειδικότερος χρόνος υλοποίησης του προγράμματος, τα αρμόδια για την υλοποίηση όργανα και κάθε άλλο ζήτημα σχετικό με τη διαχείριση, παρακολούθηση, χρηματοδότηση, υλοποίηση, λειτουργία και εκτέλεση του προγράμματος, η σύσταση και οι λεπτομέρειες λειτουργίας του Μητρώου Εγκαταστατών, τα τεχνικά και οργανωτικά μέτρα για τη λειτουργία της ηλεκτρονικής πλατφόρμας του προγράμματος, οι απαραίτητες διαλειτουργικότητες και ρυθμίζεται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Χρηματοδοτικά και άλλα κίνητρα για τη βελτίωση της ενεργειακής απόδοσης νέων και υφιστάμενων κτιρίων - Εξουσιοδοτική διάταξη - Τροποποίηση παρ. 4 άρθρου 10 ν. 4122/2013</w:t>
      </w:r>
    </w:p>
    <w:p>
      <w:pPr>
        <w:spacing w:before="240" w:after="240"/>
        <w:rPr>
          <w:lang w:val="el" w:eastAsia="el"/>
        </w:rPr>
      </w:pPr>
      <w:r>
        <w:rPr>
          <w:lang w:val="el" w:eastAsia="el"/>
        </w:rPr>
        <w:t>Στην παρ. 4 του άρθρου 10 του ν. 4122/2013 (Α’ 42), περί βελτίωσης της ενεργειακής απόδοσης κτιρίων, προστίθεται νέο δεύτερο εδάφιο και η παρ. 4 διαμορφώνεται ως εξής:</w:t>
      </w:r>
    </w:p>
    <w:p>
      <w:pPr>
        <w:spacing w:before="240" w:after="240"/>
        <w:rPr>
          <w:lang w:val="el" w:eastAsia="el"/>
        </w:rPr>
      </w:pPr>
      <w:r>
        <w:rPr>
          <w:lang w:val="el" w:eastAsia="el"/>
        </w:rPr>
        <w:t>«4 . Με κοινή απόφαση του Υπουργού Περιβάλλοντος και Ενέργειας και των κατά περίπτωση αρμόδιων Υπουργών προκηρύσσονται προγράμματα που αφορούν παρεμβάσεις στον κτιριακό τομέα για τη βελτίωση της ενεργειακής απόδοσης κτιρίων, περιλαμβανομένων και κτιρίων κατοικιών, λαμβάνοντας υπόψη τα βέλτιστα από πλευράς κόστους επίπεδα ενεργειακής απόδοσης. Στο πλαίσιο των ανωτέρω προγραμμάτων δύνανται να περιλαμβάνονται, ως συμπληρωματικές, και ευρύτερες παρεμβάσεις ανακαίνισης για την αισθητική και λειτουργική ανακαίνιση και αναβάθμιση των κτιρίων και κτιρι- ακών μονάδων.</w:t>
      </w:r>
    </w:p>
    <w:p>
      <w:pPr>
        <w:spacing w:before="240" w:after="240"/>
        <w:rPr>
          <w:lang w:val="el" w:eastAsia="el"/>
        </w:rPr>
      </w:pPr>
      <w:r>
        <w:rPr>
          <w:lang w:val="el" w:eastAsia="el"/>
        </w:rPr>
        <w:t>Με την ίδια απόφαση καθορίζονται ο προϋπολογισμός του σχετικού προγράμματος, οι επιλέξιμες κατηγορίες κτιρίων και οι επιλέξιμες κτιριακές παρεμβάσεις, το είδος της χρηματοδότησης και το ποσοστό αυτής, τα κριτήρια επιλογής των έργων για την καθεμία, οι ωφελούμενοι από το πρόγραμμα, ο τρόπος πληροφόρησης του κοινού για το πρόγραμμα, η διαδικασία υποβολής αιτήσεων υπαγωγής σε αυτό, τα απαιτούμενα δικαιολογητικά, η προθεσμία υποβολής τους, η διαδικασία παραλαβής, ελέγχου, αξιολόγησης και έγκρισης των αιτήσεων, η διαδικασία παρακολούθησης της υλοποίησης των επί μέρους έργων που έχουν εγκριθεί και πιστοποίησης των εργασιών που έχουν εκτελεσθεί, ο τρόπος καταβολής της χρηματοδότησης, οι υποχρεώσεις αυτών που έχουν ενταχθεί στο πρόγραμμα και οι συνέπειες μη τήρησης των όρων και των προϋποθέσεων του προγράμματος, καθώς και κάθε άλλο θέμα σχετικό με την εφαρμογή του προγράμματος.»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Ορισμός του Τεχνικού Επιμελητηρίου Ελλάδας ως φορέα υλοποίησης προγραμμάτων του Υπουργείου Περιβάλλοντος και Ενέργειας - Εξουσιοδοτική διάταξη - Τροποποίηση παρ. 1 άρθρου 102 ν. 4821/2021</w:t>
      </w:r>
    </w:p>
    <w:p>
      <w:pPr>
        <w:spacing w:before="240" w:after="240"/>
        <w:rPr>
          <w:lang w:val="el" w:eastAsia="el"/>
        </w:rPr>
      </w:pPr>
      <w:r>
        <w:rPr>
          <w:lang w:val="el" w:eastAsia="el"/>
        </w:rPr>
        <w:t>Στο πρώτο εδάφιο της παρ. 1 του άρθρου 102 του ν. 4821/2021 (Α’ 134), περί δράσεων που ανατίθενται στο Τεχνικό Επιμελητήριο Ελλάδας (ΤΕΕ), διευρύνεται το αντικείμενο της εξουσιοδότησης και η παρ. 1 διαμορφώνεται ως εξής:</w:t>
      </w:r>
    </w:p>
    <w:p>
      <w:pPr>
        <w:spacing w:before="240" w:after="240"/>
        <w:rPr>
          <w:lang w:val="el" w:eastAsia="el"/>
        </w:rPr>
      </w:pPr>
      <w:r>
        <w:rPr>
          <w:lang w:val="el" w:eastAsia="el"/>
        </w:rPr>
        <w:t>«1 . Με κοινή απόφαση των Υπουργών Περιβάλλοντος και Ενέργειας, Οικονομικών και Ανάπτυξης και Επενδύσεων δύναται να ανατίθενται στο Τεχνικό Επιμελητήριο Ελλάδας (ΤΕΕ), για τις δράσεις της εξοικονόμησης ενέργειας στον οικιακό κτιριακό τομέα, της ενεργειακής απόδοσης και αναβάθμισης κατοικιών με τη χρήση Ανανεώσιμων Πηγών Ενέργειας (ΑΠΕ), της μείωσης εκπομπών ρύπων που συμβάλλουν στην επιδείνωση του φαινομένου του θερμοκηπίου και της επίτευξης καθαρότερου περιβάλλοντος, καθώς και της αισθητικής και λειτουργικής ανακαίνισης και αναβάθμισης των κατοικιών σε συνδυασμό με τις ανωτέρω παρεμβάσεις, καθήκοντα υλοποίησης και διαχείρισης του εκάστοτε σχετικού προγράμματος, ιδίως δε η διαχείριση και υποστήριξη του πληροφοριακού συστήματος, η διαχείριση και αξιολόγηση των αιτήσεων, ο έλεγχος των δικαιολογητικών, η συνεργασία με τις αρμόδιες αρχές, η εισήγηση προς τον φορέα του προγράμματος για επίλυση τυχόν προβλημάτων που ανακύπτουν κατά τη διαδικασία και η ενημέρωση για την εξέλιξη του προγράμματος, σύμφωνα με τους όρους και τις προϋποθέσεις του. Τα παραπάνω καθήκοντα ασκούνται σε συνεργασία με τις αρμόδιες υπηρεσίες του Υπουργείου Περιβάλλοντος και Ενέργειας και τους συναρμόδιους φορείς. Με την ίδια απόφαση, μέρος των καθηκόντων υλοποίησης και διαχείρισης του εκάστοτε σχετικού προγράμματος δύναται να ανατίθεται στην Ελληνική Αναπτυξιακή Τράπεζα A.E.»</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(παρ. 2 άρθρου 31 Οδηγίας (ΕΕ) 2019/882)</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εκτός αν ορίζεται άλλως.</w:t>
      </w:r>
    </w:p>
    <w:p>
      <w:pPr>
        <w:pStyle w:val="MainText"/>
        <w:spacing w:before="120" w:after="0"/>
        <w:rPr>
          <w:lang w:val="el" w:eastAsia="el"/>
        </w:rPr>
      </w:pPr>
      <w:r>
        <w:rPr>
          <w:b/>
          <w:bCs/>
          <w:lang w:val="el" w:eastAsia="el"/>
        </w:rPr>
        <w:t>2.</w:t>
      </w:r>
      <w:r>
        <w:rPr>
          <w:lang w:val="el" w:eastAsia="el"/>
        </w:rPr>
        <w:t xml:space="preserve"> Η εφαρμογή του Μέρους Β’αρχίζει από την 28η Ιουνίου 2025, εκτός αν ορίζεται άλλως.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IΑΠΑΙΤΗΣΕΙΣ ΠΡΟΣΒΑΣΙΜΟΤΗΤΑΣ ΓΙΑ ΤΑ ΠΡΟΪΟΝΤΑ ΚΑΙ ΤΙΣ ΥΠΗΡΕΣΙΕΣ</w:t>
      </w:r>
    </w:p>
    <w:p>
      <w:pPr>
        <w:pStyle w:val="Heading2"/>
        <w:spacing w:before="240" w:after="240"/>
        <w:rPr>
          <w:lang w:val="el" w:eastAsia="el"/>
        </w:rPr>
      </w:pPr>
      <w:r>
        <w:rPr>
          <w:rStyle w:val="hierarchy-num"/>
          <w:b/>
          <w:bCs/>
          <w:lang w:val="el" w:eastAsia="el"/>
        </w:rPr>
        <w:t>Τμήμα I</w:t>
      </w:r>
    </w:p>
    <w:p>
      <w:pPr>
        <w:spacing w:before="240" w:after="240"/>
        <w:rPr>
          <w:lang w:val="el" w:eastAsia="el"/>
        </w:rPr>
      </w:pPr>
      <w:r>
        <w:rPr>
          <w:b/>
          <w:bCs/>
          <w:lang w:val="el" w:eastAsia="el"/>
        </w:rPr>
        <w:t>Γενικές απαιτήσεις προσβασιμότητας για κάθε προϊόν που καλύπτεται από τον παρόντα σύμφωνα με τηνπαρ. 1 του άρθρου 3</w:t>
      </w:r>
    </w:p>
    <w:p>
      <w:pPr>
        <w:spacing w:before="240" w:after="240"/>
        <w:rPr>
          <w:lang w:val="el" w:eastAsia="el"/>
        </w:rPr>
      </w:pPr>
      <w:r>
        <w:rPr>
          <w:lang w:val="el" w:eastAsia="el"/>
        </w:rPr>
        <w:t>Τα προϊόντα σχεδιάζονται και παράγονται κατά τρόπον ώστε να μεγιστοποιείται η προβλεπόμενη χρήση τους από άτομα με αναπηρία και συνοδεύονται, όπου είναι δυνατόν εντός ή επί του προϊόντος, από προσβάσιμες πληροφορίες σχετικά με τη λειτουργία τους και τα χαρακτηριστικά προσβασιμότητάς τους.</w:t>
      </w:r>
    </w:p>
    <w:p>
      <w:pPr>
        <w:spacing w:before="240" w:after="240"/>
        <w:rPr>
          <w:lang w:val="el" w:eastAsia="el"/>
        </w:rPr>
      </w:pPr>
      <w:r>
        <w:rPr>
          <w:lang w:val="el" w:eastAsia="el"/>
        </w:rPr>
        <w:t>1. Απαιτήσεις σχετικά με την παροχή πληροφοριών.</w:t>
      </w:r>
    </w:p>
    <w:p>
      <w:pPr>
        <w:pStyle w:val="StructureList1"/>
        <w:spacing w:before="120" w:after="0"/>
        <w:rPr>
          <w:lang w:val="el" w:eastAsia="el"/>
        </w:rPr>
      </w:pPr>
      <w:r>
        <w:rPr>
          <w:lang w:val="el" w:eastAsia="el"/>
        </w:rPr>
        <w:t>α)</w:t>
      </w:r>
      <w:r>
        <w:rPr>
          <w:lang w:val="en" w:eastAsia="en"/>
        </w:rPr>
        <w:tab/>
      </w:r>
      <w:r>
        <w:rPr>
          <w:lang w:val="el" w:eastAsia="el"/>
        </w:rPr>
        <w:t>Οι πληροφορίες σχετικά με τη χρήση του προϊόντος που παρέχονται στο ίδιο το προϊόν (επισήμανση, οδηγίες και προειδοποιήσεις):</w:t>
      </w:r>
    </w:p>
    <w:p>
      <w:pPr>
        <w:pStyle w:val="StructureList1"/>
        <w:spacing w:before="120" w:after="0"/>
        <w:rPr>
          <w:lang w:val="el" w:eastAsia="el"/>
        </w:rPr>
      </w:pPr>
      <w:r>
        <w:rPr>
          <w:lang w:val="el" w:eastAsia="el"/>
        </w:rPr>
        <w:t>αα)</w:t>
      </w:r>
      <w:r>
        <w:rPr>
          <w:lang w:val="en" w:eastAsia="en"/>
        </w:rPr>
        <w:tab/>
      </w:r>
      <w:r>
        <w:rPr>
          <w:lang w:val="el" w:eastAsia="el"/>
        </w:rPr>
        <w:t>καθίστανται διαθέσιμες με περισσότερα από ένα αισθητηριακά κανάλια,</w:t>
      </w:r>
    </w:p>
    <w:p>
      <w:pPr>
        <w:pStyle w:val="StructureList1"/>
        <w:spacing w:before="120" w:after="0"/>
        <w:rPr>
          <w:lang w:val="el" w:eastAsia="el"/>
        </w:rPr>
      </w:pPr>
      <w:r>
        <w:rPr>
          <w:lang w:val="el" w:eastAsia="el"/>
        </w:rPr>
        <w:t>αβ)</w:t>
      </w:r>
      <w:r>
        <w:rPr>
          <w:lang w:val="en" w:eastAsia="en"/>
        </w:rPr>
        <w:tab/>
      </w:r>
      <w:r>
        <w:rPr>
          <w:lang w:val="el" w:eastAsia="el"/>
        </w:rPr>
        <w:t>παρουσιάζονται με κατανοητό τρόπο,</w:t>
      </w:r>
    </w:p>
    <w:p>
      <w:pPr>
        <w:pStyle w:val="StructureList1"/>
        <w:spacing w:before="120" w:after="0"/>
        <w:rPr>
          <w:lang w:val="el" w:eastAsia="el"/>
        </w:rPr>
      </w:pPr>
      <w:r>
        <w:rPr>
          <w:lang w:val="el" w:eastAsia="el"/>
        </w:rPr>
        <w:t>αγ)</w:t>
      </w:r>
      <w:r>
        <w:rPr>
          <w:lang w:val="en" w:eastAsia="en"/>
        </w:rPr>
        <w:tab/>
      </w:r>
      <w:r>
        <w:rPr>
          <w:lang w:val="el" w:eastAsia="el"/>
        </w:rPr>
        <w:t>παρουσιάζονται στους χρήστες, έτσι ώστε να μπορούν να γίνουν αντιληπτές,</w:t>
      </w:r>
    </w:p>
    <w:p>
      <w:pPr>
        <w:pStyle w:val="StructureList1"/>
        <w:spacing w:before="120" w:after="0"/>
        <w:rPr>
          <w:lang w:val="el" w:eastAsia="el"/>
        </w:rPr>
      </w:pPr>
      <w:r>
        <w:rPr>
          <w:lang w:val="el" w:eastAsia="el"/>
        </w:rPr>
        <w:t>αδ)</w:t>
      </w:r>
      <w:r>
        <w:rPr>
          <w:lang w:val="en" w:eastAsia="en"/>
        </w:rPr>
        <w:tab/>
      </w:r>
      <w:r>
        <w:rPr>
          <w:lang w:val="el" w:eastAsia="el"/>
        </w:rPr>
        <w:t>παρουσιάζονται με γραμματοσειρά κατάλληλου μεγέθους και αρμόζοντος σχήματος, λαμβανομένων υπόψη των προβλέψιμων συνθηκών χρήσης, και εφαρμόζοντας επαρκή αντίθεση, καθώς και ρυθμιζόμενο διάστημα μεταξύ γραμμάτων, σειρών και παραγράφων.</w:t>
      </w:r>
    </w:p>
    <w:p>
      <w:pPr>
        <w:pStyle w:val="StructureList1"/>
        <w:spacing w:before="120" w:after="0"/>
        <w:rPr>
          <w:lang w:val="el" w:eastAsia="el"/>
        </w:rPr>
      </w:pPr>
      <w:r>
        <w:rPr>
          <w:lang w:val="el" w:eastAsia="el"/>
        </w:rPr>
        <w:t>β)</w:t>
      </w:r>
      <w:r>
        <w:rPr>
          <w:lang w:val="en" w:eastAsia="en"/>
        </w:rPr>
        <w:tab/>
      </w:r>
      <w:r>
        <w:rPr>
          <w:lang w:val="el" w:eastAsia="el"/>
        </w:rPr>
        <w:t>Οι οδηγίες χρήσης του προϊόντος, όταν δεν παρέχονται στο ίδιο το προϊόν αλλά καθίστανται διαθέσιμες κατά τη χρήση του προϊόντος ή με άλλα μέσα, όπως δικτυακό τόπο, συμπεριλαμβανομένων των λειτουργιών προσβασιμότητας του προϊόντος, της ενεργοποίησής τους και της διαλειτουργικότητάς τους με υποστηρικτικές λύσεις, τίθενται στη διάθεση του κοινού, όταν το προϊόν καθίσταται διαθέσιμο στην αγορά και:</w:t>
      </w:r>
    </w:p>
    <w:p>
      <w:pPr>
        <w:pStyle w:val="StructureList1"/>
        <w:spacing w:before="120" w:after="0"/>
        <w:rPr>
          <w:lang w:val="el" w:eastAsia="el"/>
        </w:rPr>
      </w:pPr>
      <w:r>
        <w:rPr>
          <w:lang w:val="el" w:eastAsia="el"/>
        </w:rPr>
        <w:t>βα)</w:t>
      </w:r>
      <w:r>
        <w:rPr>
          <w:lang w:val="en" w:eastAsia="en"/>
        </w:rPr>
        <w:tab/>
      </w:r>
      <w:r>
        <w:rPr>
          <w:lang w:val="el" w:eastAsia="el"/>
        </w:rPr>
        <w:t>καθίστανται διαθέσιμες με περισσότερα από ένα αισθητηριακά κανάλια,</w:t>
      </w:r>
    </w:p>
    <w:p>
      <w:pPr>
        <w:pStyle w:val="StructureList1"/>
        <w:spacing w:before="120" w:after="0"/>
        <w:rPr>
          <w:lang w:val="el" w:eastAsia="el"/>
        </w:rPr>
      </w:pPr>
      <w:r>
        <w:rPr>
          <w:lang w:val="el" w:eastAsia="el"/>
        </w:rPr>
        <w:t>ββ)</w:t>
      </w:r>
      <w:r>
        <w:rPr>
          <w:lang w:val="en" w:eastAsia="en"/>
        </w:rPr>
        <w:tab/>
      </w:r>
      <w:r>
        <w:rPr>
          <w:lang w:val="el" w:eastAsia="el"/>
        </w:rPr>
        <w:t>παρουσιάζονται με κατανοητό τρόπο,</w:t>
      </w:r>
    </w:p>
    <w:p>
      <w:pPr>
        <w:pStyle w:val="StructureList1"/>
        <w:spacing w:before="120" w:after="0"/>
        <w:rPr>
          <w:lang w:val="el" w:eastAsia="el"/>
        </w:rPr>
      </w:pPr>
      <w:r>
        <w:rPr>
          <w:lang w:val="el" w:eastAsia="el"/>
        </w:rPr>
        <w:t>βγ)</w:t>
      </w:r>
      <w:r>
        <w:rPr>
          <w:lang w:val="en" w:eastAsia="en"/>
        </w:rPr>
        <w:tab/>
      </w:r>
      <w:r>
        <w:rPr>
          <w:lang w:val="el" w:eastAsia="el"/>
        </w:rPr>
        <w:t>παρουσιάζονται στους χρήστες, έτσι ώστε να μπορούν να γίνουν αντιληπτές,</w:t>
      </w:r>
    </w:p>
    <w:p>
      <w:pPr>
        <w:pStyle w:val="StructureList1"/>
        <w:spacing w:before="120" w:after="0"/>
        <w:rPr>
          <w:lang w:val="el" w:eastAsia="el"/>
        </w:rPr>
      </w:pPr>
      <w:r>
        <w:rPr>
          <w:lang w:val="el" w:eastAsia="el"/>
        </w:rPr>
        <w:t>βδ)</w:t>
      </w:r>
      <w:r>
        <w:rPr>
          <w:lang w:val="en" w:eastAsia="en"/>
        </w:rPr>
        <w:tab/>
      </w:r>
      <w:r>
        <w:rPr>
          <w:lang w:val="el" w:eastAsia="el"/>
        </w:rPr>
        <w:t>παρουσιάζονται με γραμματοσειρά κατάλληλου μεγέθους και αρμόζοντος σχήματος, λαμβανομένων υπόψη των προβλέψιμων συνθηκών χρήσης, και εφαρμόζοντας επαρκή αντίθεση, καθώς και ρυθμιζόμενο διάστημα μεταξύ γραμμάτων, σειρών και παραγράφων,</w:t>
      </w:r>
    </w:p>
    <w:p>
      <w:pPr>
        <w:pStyle w:val="StructureList1"/>
        <w:spacing w:before="120" w:after="0"/>
        <w:rPr>
          <w:lang w:val="el" w:eastAsia="el"/>
        </w:rPr>
      </w:pPr>
      <w:r>
        <w:rPr>
          <w:lang w:val="el" w:eastAsia="el"/>
        </w:rPr>
        <w:t>βε)</w:t>
      </w:r>
      <w:r>
        <w:rPr>
          <w:lang w:val="en" w:eastAsia="en"/>
        </w:rPr>
        <w:tab/>
      </w:r>
      <w:r>
        <w:rPr>
          <w:lang w:val="el" w:eastAsia="el"/>
        </w:rPr>
        <w:t>όσον αφορά το περιεχόμενο, διατίθενται σε μορφοτύπους κειμένου που μπορούν να χρησιμοποιηθούν για τη δημιουργία εναλλακτικών υποστηρικτικών μορφοτύπων που παρουσιάζονται με διαφορετικούς τρόπους και μέσω περισσότερων του ενός αισθητηριακών καναλιών,</w:t>
      </w:r>
    </w:p>
    <w:p>
      <w:pPr>
        <w:pStyle w:val="StructureList1"/>
        <w:spacing w:before="120" w:after="0"/>
        <w:rPr>
          <w:lang w:val="el" w:eastAsia="el"/>
        </w:rPr>
      </w:pPr>
      <w:r>
        <w:rPr>
          <w:lang w:val="el" w:eastAsia="el"/>
        </w:rPr>
        <w:t>βστ)</w:t>
      </w:r>
      <w:r>
        <w:rPr>
          <w:lang w:val="en" w:eastAsia="en"/>
        </w:rPr>
        <w:tab/>
      </w:r>
      <w:r>
        <w:rPr>
          <w:lang w:val="el" w:eastAsia="el"/>
        </w:rPr>
        <w:t>συνοδεύονται από εναλλακτική παρουσίαση κάθε περιεχομένου που δεν είναι κείμενο,</w:t>
      </w:r>
    </w:p>
    <w:p>
      <w:pPr>
        <w:pStyle w:val="StructureList1"/>
        <w:spacing w:before="120" w:after="0"/>
        <w:rPr>
          <w:lang w:val="el" w:eastAsia="el"/>
        </w:rPr>
      </w:pPr>
      <w:r>
        <w:rPr>
          <w:lang w:val="el" w:eastAsia="el"/>
        </w:rPr>
        <w:t>βζ)</w:t>
      </w:r>
      <w:r>
        <w:rPr>
          <w:lang w:val="en" w:eastAsia="en"/>
        </w:rPr>
        <w:tab/>
      </w:r>
      <w:r>
        <w:rPr>
          <w:lang w:val="el" w:eastAsia="el"/>
        </w:rPr>
        <w:t>περιλαμβάνουν περιγραφή της διεπαφής χρήστη του προϊόντος (χειρισμός, έλεγχος και ανατροφοδότηση, εισροή και εκροή) που παρέχεται σύμφωνα με την παρ. 2, η οποία αναφέρει για καθένα από τα στοιχεία της παρ. 2, εάν το προϊόν παρέχει τα εν λόγω χαρακτηριστικά,</w:t>
      </w:r>
    </w:p>
    <w:p>
      <w:pPr>
        <w:pStyle w:val="StructureList1"/>
        <w:spacing w:before="120" w:after="0"/>
        <w:rPr>
          <w:lang w:val="el" w:eastAsia="el"/>
        </w:rPr>
      </w:pPr>
      <w:r>
        <w:rPr>
          <w:lang w:val="el" w:eastAsia="el"/>
        </w:rPr>
        <w:t>βη)</w:t>
      </w:r>
      <w:r>
        <w:rPr>
          <w:lang w:val="en" w:eastAsia="en"/>
        </w:rPr>
        <w:tab/>
      </w:r>
      <w:r>
        <w:rPr>
          <w:lang w:val="el" w:eastAsia="el"/>
        </w:rPr>
        <w:t>περιλαμβάνουν περιγραφή της λειτουργικότητας του προϊόντος που παρέχεται με λειτουργίες οι οποίες αποσκοπούν στην αντιμετώπιση των αναγκών των ατόμων με αναπηρία, σύμφωνα με την παρ. 2, η οποία αναφέρει για κάθε μια από τις λειτουργίες της παρ. 2 εάν το προϊόν παρέχει τα εν λόγω χαρακτηριστικά,</w:t>
      </w:r>
    </w:p>
    <w:p>
      <w:pPr>
        <w:pStyle w:val="StructureList1"/>
        <w:spacing w:before="120" w:after="0"/>
        <w:rPr>
          <w:lang w:val="el" w:eastAsia="el"/>
        </w:rPr>
      </w:pPr>
      <w:r>
        <w:rPr>
          <w:lang w:val="el" w:eastAsia="el"/>
        </w:rPr>
        <w:t>βθ)</w:t>
      </w:r>
      <w:r>
        <w:rPr>
          <w:lang w:val="en" w:eastAsia="en"/>
        </w:rPr>
        <w:tab/>
      </w:r>
      <w:r>
        <w:rPr>
          <w:lang w:val="el" w:eastAsia="el"/>
        </w:rPr>
        <w:t>περιλαμβάνουν περιγραφή της διεπικοινωνίας λογισμικού και υλισμικού του προϊόντος με υποστηρικτικές συσκευές· η περιγραφή περιλαμβάνει κατάλογο των υποστηρικτικών συσκευών που έχουν υποβληθεί σε δοκιμές μαζί με το προϊόν.</w:t>
      </w:r>
    </w:p>
    <w:p>
      <w:pPr>
        <w:spacing w:before="240" w:after="240"/>
        <w:rPr>
          <w:lang w:val="el" w:eastAsia="el"/>
        </w:rPr>
      </w:pPr>
      <w:r>
        <w:rPr>
          <w:lang w:val="el" w:eastAsia="el"/>
        </w:rPr>
        <w:t>2. Διεπαφή χρήστη και λειτουργικός σχεδιασμός:</w:t>
      </w:r>
    </w:p>
    <w:p>
      <w:pPr>
        <w:spacing w:before="240" w:after="240"/>
        <w:rPr>
          <w:lang w:val="el" w:eastAsia="el"/>
        </w:rPr>
      </w:pPr>
      <w:r>
        <w:rPr>
          <w:lang w:val="el" w:eastAsia="el"/>
        </w:rPr>
        <w:t>Το προϊόν, μαζί με την οικεία διεπαφή χρήστη, περιέχει χαρακτηριστικά, στοιχεία και λειτουργίες που επιτρέπουν στα άτομα με αναπηρία την πρόσβαση, την αντίληψη, τη λειτουργία, την κατανόηση και τον έλεγχο του προϊόντος, με τη διασφάλιση ότι:</w:t>
      </w:r>
    </w:p>
    <w:p>
      <w:pPr>
        <w:pStyle w:val="StructureList1"/>
        <w:spacing w:before="120" w:after="0"/>
        <w:rPr>
          <w:lang w:val="el" w:eastAsia="el"/>
        </w:rPr>
      </w:pPr>
      <w:r>
        <w:rPr>
          <w:lang w:val="el" w:eastAsia="el"/>
        </w:rPr>
        <w:t>α)</w:t>
      </w:r>
      <w:r>
        <w:rPr>
          <w:lang w:val="en" w:eastAsia="en"/>
        </w:rPr>
        <w:tab/>
      </w:r>
      <w:r>
        <w:rPr>
          <w:lang w:val="el" w:eastAsia="el"/>
        </w:rPr>
        <w:t>όταν το προϊόν παρέχει δυνατότητες επικοινωνίας, συμπεριλαμβανομένων της διαπροσωπικής επικοινωνίας, λειτουργίας, ενημέρωσης, ελέγχου και προσανατολισμού, αυτό επιτυγχάνεται μέσω περισσότερων του ενός αισθητηριακών καναλιών αυτό σημαίνει, μεταξύ άλλων, να παρέχονται εναλλακτικές δυνατότητες έναντι των στοιχείων όρασης, ακοής, ομιλίας και αφής,</w:t>
      </w:r>
    </w:p>
    <w:p>
      <w:pPr>
        <w:pStyle w:val="StructureList1"/>
        <w:spacing w:before="120" w:after="0"/>
        <w:rPr>
          <w:lang w:val="el" w:eastAsia="el"/>
        </w:rPr>
      </w:pPr>
      <w:r>
        <w:rPr>
          <w:lang w:val="el" w:eastAsia="el"/>
        </w:rPr>
        <w:t>β)</w:t>
      </w:r>
      <w:r>
        <w:rPr>
          <w:lang w:val="en" w:eastAsia="en"/>
        </w:rPr>
        <w:tab/>
      </w:r>
      <w:r>
        <w:rPr>
          <w:lang w:val="el" w:eastAsia="el"/>
        </w:rPr>
        <w:t>όταν το προϊόν χρησιμοποιεί ομιλία, παρέχει εναλλακτικές δυνατότητες έναντι της ομιλίας και της φωνητικής καταγραφής για σκοπούς επικοινωνίας, λειτουργίας, ελέγχου και προσανατολισμού,</w:t>
      </w:r>
    </w:p>
    <w:p>
      <w:pPr>
        <w:spacing w:before="240" w:after="240"/>
        <w:rPr>
          <w:lang w:val="el" w:eastAsia="el"/>
        </w:rPr>
      </w:pPr>
      <w:r>
        <w:rPr>
          <w:lang w:val="el" w:eastAsia="el"/>
        </w:rPr>
        <w:t>V) όταν το προϊόν χρησιμοποιεί οπτικά στοιχεία, παρέχει δυνατότητες ευέλικτης μεγέθυνσης, φωτεινότητας και αντίθεσης για σκοπούς επικοινωνίας, ενημέρωσης και λειτουργίας και επίσης εξασφαλίζει διαλειτουργικότητα με προγράμματα και υποστηρικτικές συσκευές πλοήγησης στη διεπαφή,</w:t>
      </w:r>
    </w:p>
    <w:p>
      <w:pPr>
        <w:pStyle w:val="StructureList1"/>
        <w:spacing w:before="120" w:after="0"/>
        <w:rPr>
          <w:lang w:val="el" w:eastAsia="el"/>
        </w:rPr>
      </w:pPr>
      <w:r>
        <w:rPr>
          <w:lang w:val="el" w:eastAsia="el"/>
        </w:rPr>
        <w:t>δ)</w:t>
      </w:r>
      <w:r>
        <w:rPr>
          <w:lang w:val="en" w:eastAsia="en"/>
        </w:rPr>
        <w:tab/>
      </w:r>
      <w:r>
        <w:rPr>
          <w:lang w:val="el" w:eastAsia="el"/>
        </w:rPr>
        <w:t>όταν το προϊόν χρησιμοποιεί χρώμα για να μεταδώσει πληροφορίες, να υποδείξει μια ενέργεια, να ζητήσει μια αντίδραση ή να προσδιορίσει στοιχεία, παρέχει εναλλακτική δυνατότητα έναντι του χρώματος,</w:t>
      </w:r>
    </w:p>
    <w:p>
      <w:pPr>
        <w:pStyle w:val="StructureList1"/>
        <w:spacing w:before="120" w:after="0"/>
        <w:rPr>
          <w:lang w:val="el" w:eastAsia="el"/>
        </w:rPr>
      </w:pPr>
      <w:r>
        <w:rPr>
          <w:lang w:val="el" w:eastAsia="el"/>
        </w:rPr>
        <w:t>ε)</w:t>
      </w:r>
      <w:r>
        <w:rPr>
          <w:lang w:val="en" w:eastAsia="en"/>
        </w:rPr>
        <w:tab/>
      </w:r>
      <w:r>
        <w:rPr>
          <w:lang w:val="el" w:eastAsia="el"/>
        </w:rPr>
        <w:t>όταν το προϊόν χρησιμοποιεί ακουστικά σήματα για να μεταδώσει πληροφορίες, να υποδείξει μια ενέργεια, να ζητήσει μια αντίδραση ή να προσδιορίσει στοιχεία, παρέχει εναλλακτική δυνατότητα έναντι των ακουστικών σημάτων,</w:t>
      </w:r>
    </w:p>
    <w:p>
      <w:pPr>
        <w:pStyle w:val="StructureList1"/>
        <w:spacing w:before="120" w:after="0"/>
        <w:rPr>
          <w:lang w:val="el" w:eastAsia="el"/>
        </w:rPr>
      </w:pPr>
      <w:r>
        <w:rPr>
          <w:lang w:val="el" w:eastAsia="el"/>
        </w:rPr>
        <w:t>στ)</w:t>
      </w:r>
      <w:r>
        <w:rPr>
          <w:lang w:val="en" w:eastAsia="en"/>
        </w:rPr>
        <w:tab/>
      </w:r>
      <w:r>
        <w:rPr>
          <w:lang w:val="el" w:eastAsia="el"/>
        </w:rPr>
        <w:t>όταν το προϊόν χρησιμοποιεί οπτικά στοιχεία, παρέχει ευέλικτους τρόπους βελτίωσης της οπτικής ευκρίνειας, ζ) όταν το προϊόν χρησιμοποιεί ήχο, παρέχει τη δυνατότητα ελέγχου της έντασης του ήχου και της ταχύτητας από τον χρήστη, καθώς και προηγμένα ηχητικά χαρακτηριστικά, συμπεριλαμβανομένης της μείωσης των παρεμβολών από ηχητικά σήματα που προέρχονται από προϊόντα του περιβάλλοντος και της ακουστικής ευκρίνειας,</w:t>
      </w:r>
    </w:p>
    <w:p>
      <w:pPr>
        <w:pStyle w:val="StructureList1"/>
        <w:spacing w:before="120" w:after="0"/>
        <w:rPr>
          <w:lang w:val="el" w:eastAsia="el"/>
        </w:rPr>
      </w:pPr>
      <w:r>
        <w:rPr>
          <w:lang w:val="el" w:eastAsia="el"/>
        </w:rPr>
        <w:t>η)</w:t>
      </w:r>
      <w:r>
        <w:rPr>
          <w:lang w:val="en" w:eastAsia="en"/>
        </w:rPr>
        <w:tab/>
      </w:r>
      <w:r>
        <w:rPr>
          <w:lang w:val="el" w:eastAsia="el"/>
        </w:rPr>
        <w:t>όταν το προϊόν απαιτεί χειρωνακτική λειτουργία και έλεγχο, παρέχει δυνατότητα σειριακού ελέγχου και εναλλακτικές δυνατότητες αναπλήρωσης μικροκινήσεων και λεπτών χειρισμών, χωρίς να απαιτούνται ταυτόχρονοι έλεγχοι χειρισμού, και χρησιμοποιεί μέρη που είναι αισθητά με την αφή,</w:t>
      </w:r>
    </w:p>
    <w:p>
      <w:pPr>
        <w:pStyle w:val="StructureList1"/>
        <w:spacing w:before="120" w:after="0"/>
        <w:rPr>
          <w:lang w:val="el" w:eastAsia="el"/>
        </w:rPr>
      </w:pPr>
      <w:r>
        <w:rPr>
          <w:lang w:val="el" w:eastAsia="el"/>
        </w:rPr>
        <w:t>θ)</w:t>
      </w:r>
      <w:r>
        <w:rPr>
          <w:lang w:val="en" w:eastAsia="en"/>
        </w:rPr>
        <w:tab/>
      </w:r>
      <w:r>
        <w:rPr>
          <w:lang w:val="el" w:eastAsia="el"/>
        </w:rPr>
        <w:t>το προϊόν αποφεύγει τρόπους λειτουργίας που απαιτούν εκτεταμένο εύρος κινήσεων και πολλή δύναμη, ι) το προϊόν αποφεύγει την πρόκληση κρίσεων φωτοευαισθησίας,</w:t>
      </w:r>
    </w:p>
    <w:p>
      <w:pPr>
        <w:pStyle w:val="StructureList1"/>
        <w:spacing w:before="120" w:after="0"/>
        <w:rPr>
          <w:lang w:val="el" w:eastAsia="el"/>
        </w:rPr>
      </w:pPr>
      <w:r>
        <w:rPr>
          <w:lang w:val="el" w:eastAsia="el"/>
        </w:rPr>
        <w:t>ια)</w:t>
      </w:r>
      <w:r>
        <w:rPr>
          <w:lang w:val="en" w:eastAsia="en"/>
        </w:rPr>
        <w:tab/>
      </w:r>
      <w:r>
        <w:rPr>
          <w:lang w:val="el" w:eastAsia="el"/>
        </w:rPr>
        <w:t>το προϊόν προστατεύει την ιδιωτικότητα του χρήστη όταν χρησιμοποιεί τα χαρακτηριστικά προσβασιμότητας, ιβ) το προϊόν παρέχει εναλλακτική δυνατότητα έναντι της βιομετρικής ταυτοποίησης και ελέγχου,</w:t>
      </w:r>
    </w:p>
    <w:p>
      <w:pPr>
        <w:pStyle w:val="StructureList1"/>
        <w:spacing w:before="120" w:after="0"/>
        <w:rPr>
          <w:lang w:val="el" w:eastAsia="el"/>
        </w:rPr>
      </w:pPr>
      <w:r>
        <w:rPr>
          <w:lang w:val="el" w:eastAsia="el"/>
        </w:rPr>
        <w:t>ιγ)</w:t>
      </w:r>
      <w:r>
        <w:rPr>
          <w:lang w:val="en" w:eastAsia="en"/>
        </w:rPr>
        <w:tab/>
      </w:r>
      <w:r>
        <w:rPr>
          <w:lang w:val="el" w:eastAsia="el"/>
        </w:rPr>
        <w:t>το προϊόν εξασφαλίζει τη συνεπή λειτουργικότητα και παρέχει επαρκή και ευέλικτο χρόνο αλληλεπίδρασης, ιδ) το προϊόν παρέχει λογισμικό και υλισμικό για τη διεπικοινωνία με τις υποστηρικτικές τεχνολογίες, ιε) το προϊόν συμμορφώνεται με τις ακόλουθες ειδικές τομεακές απαιτήσεις:</w:t>
      </w:r>
    </w:p>
    <w:p>
      <w:pPr>
        <w:pStyle w:val="StructureList1"/>
        <w:spacing w:before="120" w:after="0"/>
        <w:rPr>
          <w:lang w:val="el" w:eastAsia="el"/>
        </w:rPr>
      </w:pPr>
      <w:r>
        <w:rPr>
          <w:lang w:val="el" w:eastAsia="el"/>
        </w:rPr>
        <w:t>ιεα)</w:t>
      </w:r>
      <w:r>
        <w:rPr>
          <w:lang w:val="en" w:eastAsia="en"/>
        </w:rPr>
        <w:tab/>
      </w:r>
      <w:r>
        <w:rPr>
          <w:lang w:val="el" w:eastAsia="el"/>
        </w:rPr>
        <w:t>τερματικά αυτοεξυπηρέτησης:</w:t>
      </w:r>
    </w:p>
    <w:p>
      <w:pPr>
        <w:pStyle w:val="StructureList1"/>
        <w:spacing w:before="120" w:after="0"/>
        <w:rPr>
          <w:lang w:val="el" w:eastAsia="el"/>
        </w:rPr>
      </w:pPr>
      <w:r>
        <w:rPr>
          <w:lang w:val="el" w:eastAsia="el"/>
        </w:rPr>
        <w:t>i)</w:t>
      </w:r>
      <w:r>
        <w:rPr>
          <w:lang w:val="en" w:eastAsia="en"/>
        </w:rPr>
        <w:tab/>
      </w:r>
      <w:r>
        <w:rPr>
          <w:lang w:val="el" w:eastAsia="el"/>
        </w:rPr>
        <w:t>παρέχουν τεχνολογία μετατροπής κειμένου σε ομιλία,</w:t>
      </w:r>
    </w:p>
    <w:p>
      <w:pPr>
        <w:pStyle w:val="StructureList1"/>
        <w:spacing w:before="120" w:after="0"/>
        <w:rPr>
          <w:lang w:val="el" w:eastAsia="el"/>
        </w:rPr>
      </w:pPr>
      <w:r>
        <w:rPr>
          <w:lang w:val="el" w:eastAsia="el"/>
        </w:rPr>
        <w:t>ii)</w:t>
      </w:r>
      <w:r>
        <w:rPr>
          <w:lang w:val="en" w:eastAsia="en"/>
        </w:rPr>
        <w:tab/>
      </w:r>
      <w:r>
        <w:rPr>
          <w:lang w:val="el" w:eastAsia="el"/>
        </w:rPr>
        <w:t>επιτρέπουν τη χρήση ατομικών ακουστικών,</w:t>
      </w:r>
    </w:p>
    <w:p>
      <w:pPr>
        <w:pStyle w:val="StructureList1"/>
        <w:spacing w:before="120" w:after="0"/>
        <w:rPr>
          <w:lang w:val="el" w:eastAsia="el"/>
        </w:rPr>
      </w:pPr>
      <w:r>
        <w:rPr>
          <w:lang w:val="el" w:eastAsia="el"/>
        </w:rPr>
        <w:t>iii)</w:t>
      </w:r>
      <w:r>
        <w:rPr>
          <w:lang w:val="en" w:eastAsia="en"/>
        </w:rPr>
        <w:tab/>
      </w:r>
      <w:r>
        <w:rPr>
          <w:lang w:val="el" w:eastAsia="el"/>
        </w:rPr>
        <w:t>όπου απαιτείται συγκεκριμένος χρόνος απόκρισης, ο χρήστης ειδοποιείται μέσω περισσότερων του ενός αισθητηριακών καναλιών,</w:t>
      </w:r>
    </w:p>
    <w:p>
      <w:pPr>
        <w:pStyle w:val="StructureList1"/>
        <w:spacing w:before="120" w:after="0"/>
        <w:rPr>
          <w:lang w:val="el" w:eastAsia="el"/>
        </w:rPr>
      </w:pPr>
      <w:r>
        <w:rPr>
          <w:lang w:val="el" w:eastAsia="el"/>
        </w:rPr>
        <w:t>iv)</w:t>
      </w:r>
      <w:r>
        <w:rPr>
          <w:lang w:val="en" w:eastAsia="en"/>
        </w:rPr>
        <w:tab/>
      </w:r>
      <w:r>
        <w:rPr>
          <w:lang w:val="el" w:eastAsia="el"/>
        </w:rPr>
        <w:t>δίνουν τη δυνατότητα παράτασης του δεδομένου χρονικού ορίου,</w:t>
      </w:r>
    </w:p>
    <w:p>
      <w:pPr>
        <w:pStyle w:val="StructureList1"/>
        <w:spacing w:before="120" w:after="0"/>
        <w:rPr>
          <w:lang w:val="el" w:eastAsia="el"/>
        </w:rPr>
      </w:pPr>
      <w:r>
        <w:rPr>
          <w:lang w:val="el" w:eastAsia="el"/>
        </w:rPr>
        <w:t>v)</w:t>
      </w:r>
      <w:r>
        <w:rPr>
          <w:lang w:val="en" w:eastAsia="en"/>
        </w:rPr>
        <w:tab/>
      </w:r>
      <w:r>
        <w:rPr>
          <w:lang w:val="el" w:eastAsia="el"/>
        </w:rPr>
        <w:t>διαθέτουν επαρκή αντίθεση και διαφοροποίηση αισθητή με την αφή μεταξύ των κλειδιών και των χειριστηρίων, όταν υπάρχουν κλειδιά και χειριστήρια,</w:t>
      </w:r>
    </w:p>
    <w:p>
      <w:pPr>
        <w:pStyle w:val="StructureList1"/>
        <w:spacing w:before="120" w:after="0"/>
        <w:rPr>
          <w:lang w:val="el" w:eastAsia="el"/>
        </w:rPr>
      </w:pPr>
      <w:r>
        <w:rPr>
          <w:lang w:val="el" w:eastAsia="el"/>
        </w:rPr>
        <w:t>vi)</w:t>
      </w:r>
      <w:r>
        <w:rPr>
          <w:lang w:val="en" w:eastAsia="en"/>
        </w:rPr>
        <w:tab/>
      </w:r>
      <w:r>
        <w:rPr>
          <w:lang w:val="el" w:eastAsia="el"/>
        </w:rPr>
        <w:t>δεν απαιτείται η ενεργοποίηση χαρακτηριστικού προσβασιμότητας για να έχει πρόσβαση ο χρήστης,</w:t>
      </w:r>
    </w:p>
    <w:p>
      <w:pPr>
        <w:pStyle w:val="StructureList1"/>
        <w:spacing w:before="120" w:after="0"/>
        <w:rPr>
          <w:lang w:val="el" w:eastAsia="el"/>
        </w:rPr>
      </w:pPr>
      <w:r>
        <w:rPr>
          <w:lang w:val="el" w:eastAsia="el"/>
        </w:rPr>
        <w:t>vii)</w:t>
      </w:r>
      <w:r>
        <w:rPr>
          <w:lang w:val="en" w:eastAsia="en"/>
        </w:rPr>
        <w:tab/>
      </w:r>
      <w:r>
        <w:rPr>
          <w:lang w:val="el" w:eastAsia="el"/>
        </w:rPr>
        <w:t>όταν το προϊόν χρησιμοποιεί ήχο ή ηχητικά σήματα, είναι συμβατό με υποστηρικτικές συσκευές και τεχνολογίες που διατίθενται σε ενωσιακό επίπεδο, συμπεριλαμβανομένων τεχνολογιών υποβοήθησης της ακοής, όπως βοηθήματα ακοής, πηνία επαγωγής (telecoils), κοχλιακά εμφυτεύματα και ακουστικά βαρηκοΐας, ιεβ) συσκευές ανάγνωσης ηλεκτρονικών βιβλίων: παρέχουν τεχνολογία μετατροπής κειμένου σε ομιλία, ιεγ) ο τερματικός εξοπλισμός καταναλωτών με διαδραστική υπολογιστική δυνατότητα που χρησιμοποιείται για την παροχή υπηρεσιών ηλεκτρονικών επικοινωνιών:</w:t>
      </w:r>
    </w:p>
    <w:p>
      <w:pPr>
        <w:pStyle w:val="StructureList1"/>
        <w:spacing w:before="120" w:after="0"/>
        <w:rPr>
          <w:lang w:val="el" w:eastAsia="el"/>
        </w:rPr>
      </w:pPr>
      <w:r>
        <w:rPr>
          <w:lang w:val="el" w:eastAsia="el"/>
        </w:rPr>
        <w:t>i)</w:t>
      </w:r>
      <w:r>
        <w:rPr>
          <w:lang w:val="en" w:eastAsia="en"/>
        </w:rPr>
        <w:tab/>
      </w:r>
      <w:r>
        <w:rPr>
          <w:lang w:val="el" w:eastAsia="el"/>
        </w:rPr>
        <w:t>επιτρέπει τον χειρισμό κειμένου σε πραγματικό χρόνο, όταν τα προϊόντα αυτά έχουν δυνατότητες κειμένου επιπλέον των φωνητικών, και υποστηρίζει ήχο υψηλής πιστότητας,</w:t>
      </w:r>
    </w:p>
    <w:p>
      <w:pPr>
        <w:pStyle w:val="StructureList1"/>
        <w:spacing w:before="120" w:after="0"/>
        <w:rPr>
          <w:lang w:val="el" w:eastAsia="el"/>
        </w:rPr>
      </w:pPr>
      <w:r>
        <w:rPr>
          <w:lang w:val="el" w:eastAsia="el"/>
        </w:rPr>
        <w:t>ii)</w:t>
      </w:r>
      <w:r>
        <w:rPr>
          <w:lang w:val="en" w:eastAsia="en"/>
        </w:rPr>
        <w:tab/>
      </w:r>
      <w:r>
        <w:rPr>
          <w:lang w:val="el" w:eastAsia="el"/>
        </w:rPr>
        <w:t>όταν υπάρχουν δυνατότητες βίντεο επιπλέον του κειμένου και της φωνής ή σε συνδυασμό με αυτά, επιτρέπει τον χειρισμό πλήρους συνομιλίας, συμπεριλαμβανομένων συγχρονισμένης φωνής, κειμένου σε πραγματικό χρόνο και βίντεο με ανάλυση που επιτρέπει την επικοινωνία στη νοηματική γλώσσα,</w:t>
      </w:r>
    </w:p>
    <w:p>
      <w:pPr>
        <w:pStyle w:val="StructureList1"/>
        <w:spacing w:before="120" w:after="0"/>
        <w:rPr>
          <w:lang w:val="el" w:eastAsia="el"/>
        </w:rPr>
      </w:pPr>
      <w:r>
        <w:rPr>
          <w:lang w:val="el" w:eastAsia="el"/>
        </w:rPr>
        <w:t>iii)</w:t>
      </w:r>
      <w:r>
        <w:rPr>
          <w:lang w:val="en" w:eastAsia="en"/>
        </w:rPr>
        <w:tab/>
      </w:r>
      <w:r>
        <w:rPr>
          <w:lang w:val="el" w:eastAsia="el"/>
        </w:rPr>
        <w:t>εξασφαλίζει την αποτελεσματική ζεύξη ασύρματων τεχνολογιών υποβοήθησης της ακοής,</w:t>
      </w:r>
    </w:p>
    <w:p>
      <w:pPr>
        <w:pStyle w:val="StructureList1"/>
        <w:spacing w:before="120" w:after="0"/>
        <w:rPr>
          <w:lang w:val="el" w:eastAsia="el"/>
        </w:rPr>
      </w:pPr>
      <w:r>
        <w:rPr>
          <w:lang w:val="el" w:eastAsia="el"/>
        </w:rPr>
        <w:t>iv)</w:t>
      </w:r>
      <w:r>
        <w:rPr>
          <w:lang w:val="en" w:eastAsia="en"/>
        </w:rPr>
        <w:tab/>
      </w:r>
      <w:r>
        <w:rPr>
          <w:lang w:val="el" w:eastAsia="el"/>
        </w:rPr>
        <w:t>αποφεύγει τις παρεμβολές με βοηθητικές συσκευές,</w:t>
      </w:r>
    </w:p>
    <w:p>
      <w:pPr>
        <w:pStyle w:val="StructureList1"/>
        <w:spacing w:before="120" w:after="0"/>
        <w:rPr>
          <w:lang w:val="el" w:eastAsia="el"/>
        </w:rPr>
      </w:pPr>
      <w:r>
        <w:rPr>
          <w:lang w:val="el" w:eastAsia="el"/>
        </w:rPr>
        <w:t>ιεδ)</w:t>
      </w:r>
      <w:r>
        <w:rPr>
          <w:lang w:val="en" w:eastAsia="en"/>
        </w:rPr>
        <w:tab/>
      </w:r>
      <w:r>
        <w:rPr>
          <w:lang w:val="el" w:eastAsia="el"/>
        </w:rPr>
        <w:t>ο τερματικός εξοπλισμός καταναλωτών με διαδραστική υπολογιστική δυνατότητα που χρησιμοποιείται για την πρόσβαση σε υπηρεσίες οπτικοακουστικών μέσων θέτει στη διάθεση των ατόμων με αναπηρία τις συνιστώσες προσβασιμότητας που παρέχει ο πάροχος υπηρεσιών οπτικοακουστικών μέσων σχετικά με την πρόσβαση του χρήστη, την επιλογή, τον έλεγχο, την εξατομίκευση, καθώς και τη μετάδοση σε υποστηρικτικές συσκευές.</w:t>
      </w:r>
    </w:p>
    <w:p>
      <w:pPr>
        <w:spacing w:before="240" w:after="240"/>
        <w:rPr>
          <w:lang w:val="el" w:eastAsia="el"/>
        </w:rPr>
      </w:pPr>
      <w:r>
        <w:rPr>
          <w:lang w:val="el" w:eastAsia="el"/>
        </w:rPr>
        <w:t>3. Υπηρεσίες υποστήριξης:</w:t>
      </w:r>
    </w:p>
    <w:p>
      <w:pPr>
        <w:spacing w:before="240" w:after="240"/>
        <w:rPr>
          <w:lang w:val="el" w:eastAsia="el"/>
        </w:rPr>
      </w:pPr>
      <w:r>
        <w:rPr>
          <w:lang w:val="el" w:eastAsia="el"/>
        </w:rPr>
        <w:t>Όταν είναι διαθέσιμες, οι υπηρεσίες υποστήριξης (γραφεία βοήθειας, τηλεφωνικά κέντρα, τεχνική υποστήριξη, υπηρεσίες αναμετάδοσης και υπηρεσίες κατάρτισης) παρέχουν πληροφορίες σχετικά με την προσβασιμότητα του προϊόντος και τη συμβατότητά του με υποστηρικτικές τεχνολογίες, σε προσβάσιμες μορφές επικοινωνίας.</w:t>
      </w:r>
    </w:p>
    <w:p>
      <w:pPr>
        <w:pStyle w:val="Heading2"/>
        <w:spacing w:before="240" w:after="240"/>
        <w:rPr>
          <w:lang w:val="el" w:eastAsia="el"/>
        </w:rPr>
      </w:pPr>
      <w:r>
        <w:rPr>
          <w:rStyle w:val="hierarchy-num"/>
          <w:b/>
          <w:bCs/>
          <w:lang w:val="el" w:eastAsia="el"/>
        </w:rPr>
        <w:t>Τμήμα II</w:t>
      </w:r>
    </w:p>
    <w:p>
      <w:pPr>
        <w:spacing w:before="240" w:after="240"/>
        <w:rPr>
          <w:lang w:val="el" w:eastAsia="el"/>
        </w:rPr>
      </w:pPr>
      <w:r>
        <w:rPr>
          <w:b/>
          <w:bCs/>
          <w:lang w:val="el" w:eastAsia="el"/>
        </w:rPr>
        <w:t xml:space="preserve">Απαιτήσεις προσβασιμότητας για τα προϊόντα της παρ. 1 του άρθρου 3, </w:t>
      </w:r>
    </w:p>
    <w:p>
      <w:pPr>
        <w:spacing w:before="240" w:after="240"/>
        <w:rPr>
          <w:lang w:val="el" w:eastAsia="el"/>
        </w:rPr>
      </w:pPr>
      <w:r>
        <w:rPr>
          <w:b/>
          <w:bCs/>
          <w:lang w:val="el" w:eastAsia="el"/>
        </w:rPr>
        <w:t>εξαιρούμενων των τερματικώναυτοεξυπηρέτησης της περ. β</w:t>
      </w:r>
    </w:p>
    <w:p>
      <w:pPr>
        <w:spacing w:before="240" w:after="240"/>
        <w:rPr>
          <w:lang w:val="el" w:eastAsia="el"/>
        </w:rPr>
      </w:pPr>
      <w:r>
        <w:rPr>
          <w:lang w:val="el" w:eastAsia="el"/>
        </w:rPr>
        <w:t>Επιπλέον των απαιτήσεων του Τμήματος I, η συσκευασια και οι οδηγίες των προϊόντων που καλύπτονται από το παρόν τμήμα καθίστανται προσβάσιμες με σκοπό να μεγιστοποιηθεί η προβλεπόμενη χρήση τους από άτομα με αναπηρία. Αυτό σημαίνει ότι:</w:t>
      </w:r>
    </w:p>
    <w:p>
      <w:pPr>
        <w:pStyle w:val="StructureList1"/>
        <w:spacing w:before="120" w:after="0"/>
        <w:rPr>
          <w:lang w:val="el" w:eastAsia="el"/>
        </w:rPr>
      </w:pPr>
      <w:r>
        <w:rPr>
          <w:lang w:val="el" w:eastAsia="el"/>
        </w:rPr>
        <w:t>α)</w:t>
      </w:r>
      <w:r>
        <w:rPr>
          <w:lang w:val="en" w:eastAsia="en"/>
        </w:rPr>
        <w:tab/>
      </w:r>
      <w:r>
        <w:rPr>
          <w:lang w:val="el" w:eastAsia="el"/>
        </w:rPr>
        <w:t>η συσκευασία του προϊόντος, συμπεριλαμβανομένων των πληροφοριών που παρέχει (ιδίως άνοιγμα, κλείσιμο, χρήση, διάθεση), και εφόσον παρέχονται, των πληροφοριών σχετικά με τα χαρακτηριστικά του προϊόντος, καθίσταται προσβάσιμη και, όταν αυτό είναι εφικτό, η πληροφορία προσβασιμότητας παρέχεται στη συσκευασία, β) οι οδηγίες για την εγκατάσταση και συντήρηση, αποθήκευση και διάθεση του προϊόντος που δεν παρέχονται στο ίδιο το προϊόν αλλά διατίθενται με άλλα μέσα, όπως μέσω δικτυακού τόπου, τίθενται στη διάθεση του κοινού, όταν το προϊόν καθίσταται διαθέσιμο στην αγορά και πληρούν τις ακόλουθες απαιτήσεις:</w:t>
      </w:r>
    </w:p>
    <w:p>
      <w:pPr>
        <w:pStyle w:val="StructureList1"/>
        <w:spacing w:before="120" w:after="0"/>
        <w:rPr>
          <w:lang w:val="el" w:eastAsia="el"/>
        </w:rPr>
      </w:pPr>
      <w:r>
        <w:rPr>
          <w:lang w:val="el" w:eastAsia="el"/>
        </w:rPr>
        <w:t>βα)</w:t>
      </w:r>
      <w:r>
        <w:rPr>
          <w:lang w:val="en" w:eastAsia="en"/>
        </w:rPr>
        <w:tab/>
      </w:r>
      <w:r>
        <w:rPr>
          <w:lang w:val="el" w:eastAsia="el"/>
        </w:rPr>
        <w:t>είναι διαθέσιμες σε περισσότερα από ένα αισθητηριακά κανάλια,</w:t>
      </w:r>
    </w:p>
    <w:p>
      <w:pPr>
        <w:pStyle w:val="StructureList1"/>
        <w:spacing w:before="120" w:after="0"/>
        <w:rPr>
          <w:lang w:val="el" w:eastAsia="el"/>
        </w:rPr>
      </w:pPr>
      <w:r>
        <w:rPr>
          <w:lang w:val="el" w:eastAsia="el"/>
        </w:rPr>
        <w:t>βα)</w:t>
      </w:r>
      <w:r>
        <w:rPr>
          <w:lang w:val="en" w:eastAsia="en"/>
        </w:rPr>
        <w:tab/>
      </w:r>
      <w:r>
        <w:rPr>
          <w:lang w:val="el" w:eastAsia="el"/>
        </w:rPr>
        <w:t>παρουσιάζονται με κατανοητό τρόπο,</w:t>
      </w:r>
    </w:p>
    <w:p>
      <w:pPr>
        <w:pStyle w:val="StructureList1"/>
        <w:spacing w:before="120" w:after="0"/>
        <w:rPr>
          <w:lang w:val="el" w:eastAsia="el"/>
        </w:rPr>
      </w:pPr>
      <w:r>
        <w:rPr>
          <w:lang w:val="el" w:eastAsia="el"/>
        </w:rPr>
        <w:t>βγ)</w:t>
      </w:r>
      <w:r>
        <w:rPr>
          <w:lang w:val="en" w:eastAsia="en"/>
        </w:rPr>
        <w:tab/>
      </w:r>
      <w:r>
        <w:rPr>
          <w:lang w:val="el" w:eastAsia="el"/>
        </w:rPr>
        <w:t>παρουσιάζονται στους χρήστες, έτσι ώστε να μπορούν να γίνουν αντιληπτές,</w:t>
      </w:r>
    </w:p>
    <w:p>
      <w:pPr>
        <w:pStyle w:val="StructureList1"/>
        <w:spacing w:before="120" w:after="0"/>
        <w:rPr>
          <w:lang w:val="el" w:eastAsia="el"/>
        </w:rPr>
      </w:pPr>
      <w:r>
        <w:rPr>
          <w:lang w:val="el" w:eastAsia="el"/>
        </w:rPr>
        <w:t>βδ)</w:t>
      </w:r>
      <w:r>
        <w:rPr>
          <w:lang w:val="en" w:eastAsia="en"/>
        </w:rPr>
        <w:tab/>
      </w:r>
      <w:r>
        <w:rPr>
          <w:lang w:val="el" w:eastAsia="el"/>
        </w:rPr>
        <w:t>παρουσιάζονται με γραμματοσειρά κατάλληλου μεγέθους και αρμόζοντος σχήματος, λαμβανομένων υπόψη των προβλέψιμων συνθηκών χρήσης, και εφαρμόζοντας επαρκή αντίθεση, καθώς και ρυθμιζόμενο διάστημα μεταξύ γραμμάτων, σειρών και παραγράφων,</w:t>
      </w:r>
    </w:p>
    <w:p>
      <w:pPr>
        <w:pStyle w:val="StructureList1"/>
        <w:spacing w:before="120" w:after="0"/>
        <w:rPr>
          <w:lang w:val="el" w:eastAsia="el"/>
        </w:rPr>
      </w:pPr>
      <w:r>
        <w:rPr>
          <w:lang w:val="el" w:eastAsia="el"/>
        </w:rPr>
        <w:t>βε)</w:t>
      </w:r>
      <w:r>
        <w:rPr>
          <w:lang w:val="en" w:eastAsia="en"/>
        </w:rPr>
        <w:tab/>
      </w:r>
      <w:r>
        <w:rPr>
          <w:lang w:val="el" w:eastAsia="el"/>
        </w:rPr>
        <w:t>το περιεχόμενο των οδηγιών διατίθεται σε μορφοτύπους κειμένου που μπορούν να χρησιμοποιηθούν για τη δημιουργία εναλλακτικών υποστηρικτικών μορφοτύπων που παρουσιάζονται με διαφορετικούς τρόπους και μέσω περισσότερων του ενός αισθητηριακών καναλιών, και</w:t>
      </w:r>
    </w:p>
    <w:p>
      <w:pPr>
        <w:pStyle w:val="StructureList1"/>
        <w:spacing w:before="120" w:after="0"/>
        <w:rPr>
          <w:lang w:val="el" w:eastAsia="el"/>
        </w:rPr>
      </w:pPr>
      <w:r>
        <w:rPr>
          <w:lang w:val="el" w:eastAsia="el"/>
        </w:rPr>
        <w:t>βστ)</w:t>
      </w:r>
      <w:r>
        <w:rPr>
          <w:lang w:val="en" w:eastAsia="en"/>
        </w:rPr>
        <w:tab/>
      </w:r>
      <w:r>
        <w:rPr>
          <w:lang w:val="el" w:eastAsia="el"/>
        </w:rPr>
        <w:t>οι οδηγίες που περιέχουν μη κειμενικό περιεχόμενο συνοδεύονται από εναλλακτική παρουσίαση του περιεχομένου αυτού.</w:t>
      </w:r>
    </w:p>
    <w:p>
      <w:pPr>
        <w:pStyle w:val="Heading2"/>
        <w:spacing w:before="240" w:after="240"/>
        <w:rPr>
          <w:lang w:val="el" w:eastAsia="el"/>
        </w:rPr>
      </w:pPr>
      <w:r>
        <w:rPr>
          <w:rStyle w:val="hierarchy-num"/>
          <w:b/>
          <w:bCs/>
          <w:lang w:val="el" w:eastAsia="el"/>
        </w:rPr>
        <w:t>Τμήμα III</w:t>
      </w:r>
    </w:p>
    <w:p>
      <w:pPr>
        <w:spacing w:before="240" w:after="240"/>
        <w:rPr>
          <w:lang w:val="el" w:eastAsia="el"/>
        </w:rPr>
      </w:pPr>
      <w:r>
        <w:rPr>
          <w:b/>
          <w:bCs/>
          <w:lang w:val="el" w:eastAsia="el"/>
        </w:rPr>
        <w:t>Γενικές απαιτήσεις προσβασιμότητας για κάθε υπηρεσία που καλύπτεται από τον παρόντα σύμφωνα με τηνπαρ. 2 του άρθρου 3</w:t>
      </w:r>
    </w:p>
    <w:p>
      <w:pPr>
        <w:spacing w:before="240" w:after="240"/>
        <w:rPr>
          <w:lang w:val="el" w:eastAsia="el"/>
        </w:rPr>
      </w:pPr>
      <w:r>
        <w:rPr>
          <w:lang w:val="el" w:eastAsia="el"/>
        </w:rPr>
        <w:t>Η παροχή υπηρεσιών προκειμένου να μεγιστοποιηθεί η προβλεπόμενη χρήση τους από άτομα με αναπηρία επιτυγχάνεται:</w:t>
      </w:r>
    </w:p>
    <w:p>
      <w:pPr>
        <w:pStyle w:val="StructureList1"/>
        <w:spacing w:before="120" w:after="0"/>
        <w:rPr>
          <w:lang w:val="el" w:eastAsia="el"/>
        </w:rPr>
      </w:pPr>
      <w:r>
        <w:rPr>
          <w:lang w:val="el" w:eastAsia="el"/>
        </w:rPr>
        <w:t>α)</w:t>
      </w:r>
      <w:r>
        <w:rPr>
          <w:lang w:val="en" w:eastAsia="en"/>
        </w:rPr>
        <w:tab/>
      </w:r>
      <w:r>
        <w:rPr>
          <w:lang w:val="el" w:eastAsia="el"/>
        </w:rPr>
        <w:t>με τη διασφάλιση της προσβασιμότητας των προϊόντων που χρησιμοποιούνται για την παροχή της υπηρεσίας σύμφωνα με το Τμήμα I και, κατά περίπτωση, το Τμήμα II του παρόντος Παραρτήματος,</w:t>
      </w:r>
    </w:p>
    <w:p>
      <w:pPr>
        <w:pStyle w:val="StructureList1"/>
        <w:spacing w:before="120" w:after="0"/>
        <w:rPr>
          <w:lang w:val="el" w:eastAsia="el"/>
        </w:rPr>
      </w:pPr>
      <w:r>
        <w:rPr>
          <w:lang w:val="el" w:eastAsia="el"/>
        </w:rPr>
        <w:t>β)</w:t>
      </w:r>
      <w:r>
        <w:rPr>
          <w:lang w:val="en" w:eastAsia="en"/>
        </w:rPr>
        <w:tab/>
      </w:r>
      <w:r>
        <w:rPr>
          <w:lang w:val="el" w:eastAsia="el"/>
        </w:rPr>
        <w:t>με την παροχή πληροφοριών σχετικά με τη λειτουργία της υπηρεσίας, και όταν χρησιμοποιούνται προϊόντα για την παροχή της υπηρεσίας, πληροφοριών όσον αφορά τη σχέση της με τα προϊόντα αυτά, καθώς και πληροφοριών σχετικά με τα χαρακτηριστικά προσβασιμότητάς τους και τη διαλειτουργικότητά τους με τις υποστηρικτικές συσκευές και δομές:</w:t>
      </w:r>
    </w:p>
    <w:p>
      <w:pPr>
        <w:pStyle w:val="StructureList1"/>
        <w:spacing w:before="120" w:after="0"/>
        <w:rPr>
          <w:lang w:val="el" w:eastAsia="el"/>
        </w:rPr>
      </w:pPr>
      <w:r>
        <w:rPr>
          <w:lang w:val="el" w:eastAsia="el"/>
        </w:rPr>
        <w:t>βα)</w:t>
      </w:r>
      <w:r>
        <w:rPr>
          <w:lang w:val="en" w:eastAsia="en"/>
        </w:rPr>
        <w:tab/>
      </w:r>
      <w:r>
        <w:rPr>
          <w:lang w:val="el" w:eastAsia="el"/>
        </w:rPr>
        <w:t>καθιστώντας τις πληροφορίες διαθέσιμες με περισσότερα από ένα αισθητηριακά κανάλια,</w:t>
      </w:r>
    </w:p>
    <w:p>
      <w:pPr>
        <w:pStyle w:val="StructureList1"/>
        <w:spacing w:before="120" w:after="0"/>
        <w:rPr>
          <w:lang w:val="el" w:eastAsia="el"/>
        </w:rPr>
      </w:pPr>
      <w:r>
        <w:rPr>
          <w:lang w:val="el" w:eastAsia="el"/>
        </w:rPr>
        <w:t>ββ)</w:t>
      </w:r>
      <w:r>
        <w:rPr>
          <w:lang w:val="en" w:eastAsia="en"/>
        </w:rPr>
        <w:tab/>
      </w:r>
      <w:r>
        <w:rPr>
          <w:lang w:val="el" w:eastAsia="el"/>
        </w:rPr>
        <w:t>παρουσιάζοντας τις πληροφορίες με κατανοητό τρόπο,</w:t>
      </w:r>
    </w:p>
    <w:p>
      <w:pPr>
        <w:pStyle w:val="StructureList1"/>
        <w:spacing w:before="120" w:after="0"/>
        <w:rPr>
          <w:lang w:val="el" w:eastAsia="el"/>
        </w:rPr>
      </w:pPr>
      <w:r>
        <w:rPr>
          <w:lang w:val="el" w:eastAsia="el"/>
        </w:rPr>
        <w:t>βγ)</w:t>
      </w:r>
      <w:r>
        <w:rPr>
          <w:lang w:val="en" w:eastAsia="en"/>
        </w:rPr>
        <w:tab/>
      </w:r>
      <w:r>
        <w:rPr>
          <w:lang w:val="el" w:eastAsia="el"/>
        </w:rPr>
        <w:t>παρουσιάζοντας τις πληροφορίες στους χρήστες, έτσι ώστε να μπορούν να γίνουν αντιληπτές,</w:t>
      </w:r>
    </w:p>
    <w:p>
      <w:pPr>
        <w:pStyle w:val="StructureList1"/>
        <w:spacing w:before="120" w:after="0"/>
        <w:rPr>
          <w:lang w:val="el" w:eastAsia="el"/>
        </w:rPr>
      </w:pPr>
      <w:r>
        <w:rPr>
          <w:lang w:val="el" w:eastAsia="el"/>
        </w:rPr>
        <w:t>βδ)</w:t>
      </w:r>
      <w:r>
        <w:rPr>
          <w:lang w:val="en" w:eastAsia="en"/>
        </w:rPr>
        <w:tab/>
      </w:r>
      <w:r>
        <w:rPr>
          <w:lang w:val="el" w:eastAsia="el"/>
        </w:rPr>
        <w:t>διαθέτοντας το περιεχόμενο των πληροφοριών σε μορφοτύπους κειμένου που μπορούν να χρησιμοποιηθούν για τη δημιουργία εναλλακτικών υποστηρικτικών μορφοτύπων που παρουσιάζονται με διαφορετικούς τρόπους από τους χρήστες και μέσω περισσότερων του ενός αισθητηριακών καναλιών,</w:t>
      </w:r>
    </w:p>
    <w:p>
      <w:pPr>
        <w:pStyle w:val="StructureList1"/>
        <w:spacing w:before="120" w:after="0"/>
        <w:rPr>
          <w:lang w:val="el" w:eastAsia="el"/>
        </w:rPr>
      </w:pPr>
      <w:r>
        <w:rPr>
          <w:lang w:val="el" w:eastAsia="el"/>
        </w:rPr>
        <w:t>βε)</w:t>
      </w:r>
      <w:r>
        <w:rPr>
          <w:lang w:val="en" w:eastAsia="en"/>
        </w:rPr>
        <w:tab/>
      </w:r>
      <w:r>
        <w:rPr>
          <w:lang w:val="el" w:eastAsia="el"/>
        </w:rPr>
        <w:t>παρουσιάζοντας με γραμματοσειρά κατάλληλου μεγέθους και αρμόζοντος σχήματος, λαμβανομένων υπόψη των προβλέψιμων συνθηκών χρήσης, και εφαρμόζοντας επαρκή αντίθεση, καθώς και ρυθμιζόμενο διάστημα μεταξύ γραμμάτων, σειρών και παραγράφων,</w:t>
      </w:r>
    </w:p>
    <w:p>
      <w:pPr>
        <w:pStyle w:val="StructureList1"/>
        <w:spacing w:before="120" w:after="0"/>
        <w:rPr>
          <w:lang w:val="el" w:eastAsia="el"/>
        </w:rPr>
      </w:pPr>
      <w:r>
        <w:rPr>
          <w:lang w:val="el" w:eastAsia="el"/>
        </w:rPr>
        <w:t>βστ)</w:t>
      </w:r>
      <w:r>
        <w:rPr>
          <w:lang w:val="en" w:eastAsia="en"/>
        </w:rPr>
        <w:tab/>
      </w:r>
      <w:r>
        <w:rPr>
          <w:lang w:val="el" w:eastAsia="el"/>
        </w:rPr>
        <w:t>συμπληρώνοντας κάθε περιεχόμενο που δεν είναι κείμενο με εναλλακτική παρουσίαση του συγκεκριμένου περιεχομένου, και</w:t>
      </w:r>
    </w:p>
    <w:p>
      <w:pPr>
        <w:pStyle w:val="StructureList1"/>
        <w:spacing w:before="120" w:after="0"/>
        <w:rPr>
          <w:lang w:val="el" w:eastAsia="el"/>
        </w:rPr>
      </w:pPr>
      <w:r>
        <w:rPr>
          <w:lang w:val="el" w:eastAsia="el"/>
        </w:rPr>
        <w:t>βζ)</w:t>
      </w:r>
      <w:r>
        <w:rPr>
          <w:lang w:val="en" w:eastAsia="en"/>
        </w:rPr>
        <w:tab/>
      </w:r>
      <w:r>
        <w:rPr>
          <w:lang w:val="el" w:eastAsia="el"/>
        </w:rPr>
        <w:t>παρέχοντας ηλεκτρονικές πληροφορίες που απαιτούνται για την παροχή της υπηρεσίας κατά τρόπο συνεπή και κατάλληλο με τη διευκόλυνση της δυνατότητας αντίληψης, χρήσης και κατανόησης από τον χρήστη και με την αξιοπιστία τους,</w:t>
      </w:r>
    </w:p>
    <w:p>
      <w:pPr>
        <w:pStyle w:val="StructureList1"/>
        <w:spacing w:before="120" w:after="0"/>
        <w:rPr>
          <w:lang w:val="el" w:eastAsia="el"/>
        </w:rPr>
      </w:pPr>
      <w:r>
        <w:rPr>
          <w:lang w:val="el" w:eastAsia="el"/>
        </w:rPr>
        <w:t>γ)</w:t>
      </w:r>
      <w:r>
        <w:rPr>
          <w:lang w:val="en" w:eastAsia="en"/>
        </w:rPr>
        <w:tab/>
      </w:r>
      <w:r>
        <w:rPr>
          <w:lang w:val="el" w:eastAsia="el"/>
        </w:rPr>
        <w:t>με την εξασφάλιση της συνεπούς και κατάλληλης προσβασιμότητας των δικτυακών τόπων, συμπεριλαμβανομένων των συναφών διαδικτυακών εφαρμογών και των υπηρεσιών που βασίζονται σε κινητές συσκευές, καθώς και των κινητών εφαρμογών, η οποία επιτυγχάνεται με τη διευκόλυνση της δυνατότητας αντίληψης, χρήσης και κατανόησης από τον χρήστη και με την αξιοπιστία τους,</w:t>
      </w:r>
    </w:p>
    <w:p>
      <w:pPr>
        <w:pStyle w:val="StructureList1"/>
        <w:spacing w:before="120" w:after="0"/>
        <w:rPr>
          <w:lang w:val="el" w:eastAsia="el"/>
        </w:rPr>
      </w:pPr>
      <w:r>
        <w:rPr>
          <w:lang w:val="el" w:eastAsia="el"/>
        </w:rPr>
        <w:t>δ)</w:t>
      </w:r>
      <w:r>
        <w:rPr>
          <w:lang w:val="en" w:eastAsia="en"/>
        </w:rPr>
        <w:tab/>
      </w:r>
      <w:r>
        <w:rPr>
          <w:lang w:val="el" w:eastAsia="el"/>
        </w:rPr>
        <w:t>με την παροχή από τις υπηρεσίες υποστήριξης (γραφεία βοήθειας, τηλεφωνικά κέντρα, τεχνική υποστήριξη, υπηρεσίες αναμετάδοσης και υπηρεσίες κατάρτισης), όταν είναι διαθέσιμες, πληροφοριών σχετικά με την προσβασιμότητα της υπηρεσίας και τη συμβατότητά της με υποστηρικτικές τεχνολογίες, σε προσβάσιμες μορφές επικοινωνίας.</w:t>
      </w:r>
    </w:p>
    <w:p>
      <w:pPr>
        <w:pStyle w:val="Heading2"/>
        <w:spacing w:before="240" w:after="240"/>
        <w:rPr>
          <w:lang w:val="el" w:eastAsia="el"/>
        </w:rPr>
      </w:pPr>
      <w:r>
        <w:rPr>
          <w:rStyle w:val="hierarchy-num"/>
          <w:b/>
          <w:bCs/>
          <w:lang w:val="el" w:eastAsia="el"/>
        </w:rPr>
        <w:t>Τμήμα IV</w:t>
      </w:r>
    </w:p>
    <w:p>
      <w:pPr>
        <w:spacing w:before="240" w:after="240"/>
        <w:rPr>
          <w:lang w:val="el" w:eastAsia="el"/>
        </w:rPr>
      </w:pPr>
      <w:r>
        <w:rPr>
          <w:b/>
          <w:bCs/>
          <w:lang w:val="el" w:eastAsia="el"/>
        </w:rPr>
        <w:t>Πρόσθετες απαιτήσεις προσβασιμότητας για ειδικές υπηρεσίες</w:t>
      </w:r>
    </w:p>
    <w:p>
      <w:pPr>
        <w:spacing w:before="240" w:after="240"/>
        <w:rPr>
          <w:lang w:val="el" w:eastAsia="el"/>
        </w:rPr>
      </w:pPr>
      <w:r>
        <w:rPr>
          <w:lang w:val="el" w:eastAsia="el"/>
        </w:rPr>
        <w:t>Η παροχή υπηρεσιών προκειμένου να μεγιστοποιηθεί η προβλεπόμενη χρήση τους από άτομα με αναπηρία επιτυγχάνεται με λειτουργίες, πρακτικές, πολιτικές και διαδικασίες, καθώς και αλλαγές στη λειτουργία της υπηρεσίας για την αντιμετώπιση των αναγκών των ατόμων με αναπηρία και τη διασφάλιση της διαλειτουργικότητας με υποστηρικτικές τεχνολογίες:</w:t>
      </w:r>
    </w:p>
    <w:p>
      <w:pPr>
        <w:pStyle w:val="StructureList1"/>
        <w:spacing w:before="120" w:after="0"/>
        <w:rPr>
          <w:lang w:val="el" w:eastAsia="el"/>
        </w:rPr>
      </w:pPr>
      <w:r>
        <w:rPr>
          <w:lang w:val="el" w:eastAsia="el"/>
        </w:rPr>
        <w:t>α)</w:t>
      </w:r>
      <w:r>
        <w:rPr>
          <w:lang w:val="en" w:eastAsia="en"/>
        </w:rPr>
        <w:tab/>
      </w:r>
      <w:r>
        <w:rPr>
          <w:lang w:val="el" w:eastAsia="el"/>
        </w:rPr>
        <w:t>υπηρεσίες ηλεκτρονικής επικοινωνίας, συμπεριλαμβανομένων των επικοινωνιών έκτακτης ανάγκης του άρθρου 217 του ν. 4727/2020 (Α' 184):</w:t>
      </w:r>
    </w:p>
    <w:p>
      <w:pPr>
        <w:pStyle w:val="StructureList1"/>
        <w:spacing w:before="120" w:after="0"/>
        <w:rPr>
          <w:lang w:val="el" w:eastAsia="el"/>
        </w:rPr>
      </w:pPr>
      <w:r>
        <w:rPr>
          <w:lang w:val="el" w:eastAsia="el"/>
        </w:rPr>
        <w:t>αα)</w:t>
      </w:r>
      <w:r>
        <w:rPr>
          <w:lang w:val="en" w:eastAsia="en"/>
        </w:rPr>
        <w:tab/>
      </w:r>
      <w:r>
        <w:rPr>
          <w:lang w:val="el" w:eastAsia="el"/>
        </w:rPr>
        <w:t>παροχή κειμένου σε πραγματικό χρόνο επιπλέον της φωνητικής επικοινωνίας,</w:t>
      </w:r>
    </w:p>
    <w:p>
      <w:pPr>
        <w:pStyle w:val="StructureList1"/>
        <w:spacing w:before="120" w:after="0"/>
        <w:rPr>
          <w:lang w:val="el" w:eastAsia="el"/>
        </w:rPr>
      </w:pPr>
      <w:r>
        <w:rPr>
          <w:lang w:val="el" w:eastAsia="el"/>
        </w:rPr>
        <w:t>αβ)</w:t>
      </w:r>
      <w:r>
        <w:rPr>
          <w:lang w:val="en" w:eastAsia="en"/>
        </w:rPr>
        <w:tab/>
      </w:r>
      <w:r>
        <w:rPr>
          <w:lang w:val="el" w:eastAsia="el"/>
        </w:rPr>
        <w:t>παροχή πλήρους συνομιλίας όταν παρέχεται βίντεο επιπλέον της φωνητικής επικοινωνίας,</w:t>
      </w:r>
    </w:p>
    <w:p>
      <w:pPr>
        <w:pStyle w:val="StructureList1"/>
        <w:spacing w:before="120" w:after="0"/>
        <w:rPr>
          <w:lang w:val="el" w:eastAsia="el"/>
        </w:rPr>
      </w:pPr>
      <w:r>
        <w:rPr>
          <w:lang w:val="el" w:eastAsia="el"/>
        </w:rPr>
        <w:t>αγ)</w:t>
      </w:r>
      <w:r>
        <w:rPr>
          <w:lang w:val="en" w:eastAsia="en"/>
        </w:rPr>
        <w:tab/>
      </w:r>
      <w:r>
        <w:rPr>
          <w:lang w:val="el" w:eastAsia="el"/>
        </w:rPr>
        <w:t>εξασφάλιση ότι οι επικοινωνίες έκτακτης ανάγκης με τη χρήση φωνής, κειμένου (συμπεριλαμβανομένου του κειμένου σε πραγματικό χρόνο) είναι συγχρονισμένες, και, εφόσον παρέχεται βίντεο, ότι είναι και αυτό συγχρονισμένο ως πλήρης συνομιλία και διαβιβάζεται από τους παρόχους υπηρεσιών ηλεκτρονικών επικοινωνιών στο πλέον κατάλληλο «PSAP»,</w:t>
      </w:r>
    </w:p>
    <w:p>
      <w:pPr>
        <w:pStyle w:val="StructureList1"/>
        <w:spacing w:before="120" w:after="0"/>
        <w:rPr>
          <w:lang w:val="el" w:eastAsia="el"/>
        </w:rPr>
      </w:pPr>
      <w:r>
        <w:rPr>
          <w:lang w:val="el" w:eastAsia="el"/>
        </w:rPr>
        <w:t>β)</w:t>
      </w:r>
      <w:r>
        <w:rPr>
          <w:lang w:val="en" w:eastAsia="en"/>
        </w:rPr>
        <w:tab/>
      </w:r>
      <w:r>
        <w:rPr>
          <w:lang w:val="el" w:eastAsia="el"/>
        </w:rPr>
        <w:t>υπηρεσίες που παρέχουν πρόσβαση σε υπηρεσίες οπτικοακουστικών μέσων:</w:t>
      </w:r>
    </w:p>
    <w:p>
      <w:pPr>
        <w:pStyle w:val="StructureList1"/>
        <w:spacing w:before="120" w:after="0"/>
        <w:rPr>
          <w:lang w:val="el" w:eastAsia="el"/>
        </w:rPr>
      </w:pPr>
      <w:r>
        <w:rPr>
          <w:lang w:val="el" w:eastAsia="el"/>
        </w:rPr>
        <w:t>βα)</w:t>
      </w:r>
      <w:r>
        <w:rPr>
          <w:lang w:val="en" w:eastAsia="en"/>
        </w:rPr>
        <w:tab/>
      </w:r>
      <w:r>
        <w:rPr>
          <w:lang w:val="el" w:eastAsia="el"/>
        </w:rPr>
        <w:t>παροχή ηλεκτρονικών οδηγών προγραμμάτων («EPG») που μπορούν να γίνουν αντιληπτοί και είναι εύχρηστοι, κατανοητοί και αξιόπιστοι, και οι οποίοι παρέχουν πληροφορίες για τη διαθεσιμότητα της προσβασιμότητας, ββ) εξασφάλιση ότι οι συνιστώσες προσβασιμότητας (υπηρεσίες πρόσβασης) των υπηρεσιών οπτικοακουστικών μέσων, όπως η εμφάνιση υποτίτλων για τα κωφά και βαρήκοα άτομα, η ακουστική περιγραφή, οι εκφωνούμενοι υπότιτλοι και η διερμηνεία στη νοηματική γλώσσα, μεταδίδονται πλήρως με επαρκή ποιότητα για ακριβή απεικόνιση και συγχρονισμό με ήχο και εικόνα, δίνοντας τη δυνατότητα ελέγχου της απεικόνισης και της χρήσης τους από τον χρήστη,</w:t>
      </w:r>
    </w:p>
    <w:p>
      <w:pPr>
        <w:pStyle w:val="StructureList1"/>
        <w:spacing w:before="120" w:after="0"/>
        <w:rPr>
          <w:lang w:val="el" w:eastAsia="el"/>
        </w:rPr>
      </w:pPr>
      <w:r>
        <w:rPr>
          <w:lang w:val="el" w:eastAsia="el"/>
        </w:rPr>
        <w:t>γ)</w:t>
      </w:r>
      <w:r>
        <w:rPr>
          <w:lang w:val="en" w:eastAsia="en"/>
        </w:rPr>
        <w:tab/>
      </w:r>
      <w:r>
        <w:rPr>
          <w:lang w:val="el" w:eastAsia="el"/>
        </w:rPr>
        <w:t>υπηρεσίες επιβατικών μεταφορών με αεροπορικά μέσα, λεωφορεία, σιδηροδρομικά και πλωτά μέσα, με εξαίρεση τις υπηρεσίες αστικών και προαστιακών μεταφορών και περιφερειακών μεταφορών:</w:t>
      </w:r>
    </w:p>
    <w:p>
      <w:pPr>
        <w:pStyle w:val="StructureList1"/>
        <w:spacing w:before="120" w:after="0"/>
        <w:rPr>
          <w:lang w:val="el" w:eastAsia="el"/>
        </w:rPr>
      </w:pPr>
      <w:r>
        <w:rPr>
          <w:lang w:val="el" w:eastAsia="el"/>
        </w:rPr>
        <w:t>γα)</w:t>
      </w:r>
      <w:r>
        <w:rPr>
          <w:lang w:val="en" w:eastAsia="en"/>
        </w:rPr>
        <w:tab/>
      </w:r>
      <w:r>
        <w:rPr>
          <w:lang w:val="el" w:eastAsia="el"/>
        </w:rPr>
        <w:t>εξασφάλιση της παροχής πληροφοριών σχετικά με την προσβασιμότητα των οχημάτων, της περιβάλλουσας υποδομής και του δομημένου περιβάλλοντος και της βοήθειας για άτομα με αναπηρία,</w:t>
      </w:r>
    </w:p>
    <w:p>
      <w:pPr>
        <w:pStyle w:val="StructureList1"/>
        <w:spacing w:before="120" w:after="0"/>
        <w:rPr>
          <w:lang w:val="el" w:eastAsia="el"/>
        </w:rPr>
      </w:pPr>
      <w:r>
        <w:rPr>
          <w:lang w:val="el" w:eastAsia="el"/>
        </w:rPr>
        <w:t>γβ)</w:t>
      </w:r>
      <w:r>
        <w:rPr>
          <w:lang w:val="en" w:eastAsia="en"/>
        </w:rPr>
        <w:tab/>
      </w:r>
      <w:r>
        <w:rPr>
          <w:lang w:val="el" w:eastAsia="el"/>
        </w:rPr>
        <w:t>εξασφάλιση της παροχής πληροφοριών σχετικά με την έξυπνη έκδοση εισιτηρίων (ιδίως ηλεκτρονική κράτηση, κράτηση εισιτηρίων), τις ταξιδιωτικές πληροφορίες σε πραγματικό χρόνο (ιδίως πίνακες δρομολογίων, πληροφορίες σχετικά με τις διακοπές κυκλοφορίας, υπηρεσίες ανταπόκρισης, συνέχιση του ταξιδιού με άλλα μέσα μεταφοράς, αναγγελία βλαβών στο δίκτυο ή το όχημα, αναγγελία στάσεων επί του οχήματος), και συμπληρωματικές πληροφορίες για τις υπηρεσίες (ιδίως προσωπικό των σταθμών, ανελκυστήρες που είναι εκτός λειτουργίας ή υπηρεσίες που είναι προσωρινά μη διαθέσιμες),</w:t>
      </w:r>
    </w:p>
    <w:p>
      <w:pPr>
        <w:pStyle w:val="StructureList1"/>
        <w:spacing w:before="120" w:after="0"/>
        <w:rPr>
          <w:lang w:val="el" w:eastAsia="el"/>
        </w:rPr>
      </w:pPr>
      <w:r>
        <w:rPr>
          <w:lang w:val="el" w:eastAsia="el"/>
        </w:rPr>
        <w:t>δ)</w:t>
      </w:r>
      <w:r>
        <w:rPr>
          <w:lang w:val="en" w:eastAsia="en"/>
        </w:rPr>
        <w:tab/>
      </w:r>
      <w:r>
        <w:rPr>
          <w:lang w:val="el" w:eastAsia="el"/>
        </w:rPr>
        <w:t>υπηρεσίες αστικών και προαστιακών μεταφορών και περιφερειακών μεταφορών: εξασφάλιση της προσβασιμότητας των τερματικών αυτοεξυπηρέτησης που χρησιμοποιούνται για την παροχή της υπηρεσίας σύμφωνα με το Τμήμα I του παρόντος Παραρτήματος,</w:t>
      </w:r>
    </w:p>
    <w:p>
      <w:pPr>
        <w:pStyle w:val="StructureList1"/>
        <w:spacing w:before="120" w:after="0"/>
        <w:rPr>
          <w:lang w:val="el" w:eastAsia="el"/>
        </w:rPr>
      </w:pPr>
      <w:r>
        <w:rPr>
          <w:lang w:val="el" w:eastAsia="el"/>
        </w:rPr>
        <w:t>ε)</w:t>
      </w:r>
      <w:r>
        <w:rPr>
          <w:lang w:val="en" w:eastAsia="en"/>
        </w:rPr>
        <w:tab/>
      </w:r>
      <w:r>
        <w:rPr>
          <w:lang w:val="el" w:eastAsia="el"/>
        </w:rPr>
        <w:t>τραπεζικές υπηρεσίες καταναλωτών:</w:t>
      </w:r>
    </w:p>
    <w:p>
      <w:pPr>
        <w:pStyle w:val="StructureList1"/>
        <w:spacing w:before="120" w:after="0"/>
        <w:rPr>
          <w:lang w:val="el" w:eastAsia="el"/>
        </w:rPr>
      </w:pPr>
      <w:r>
        <w:rPr>
          <w:lang w:val="el" w:eastAsia="el"/>
        </w:rPr>
        <w:t>εα)</w:t>
      </w:r>
      <w:r>
        <w:rPr>
          <w:lang w:val="en" w:eastAsia="en"/>
        </w:rPr>
        <w:tab/>
      </w:r>
      <w:r>
        <w:rPr>
          <w:lang w:val="el" w:eastAsia="el"/>
        </w:rPr>
        <w:t>με την παροχή μεθόδων ταυτοποίησης, ηλεκτρονικών υπογραφών, ασφάλειας και υπηρεσιών πληρωμής που μπορούν να γίνουν αντιληπτές και είναι εύχρηστες, κατανοητές, προσβάσιμες σε όλους και αξιόπιστες, εβ) να εξασφαλίζεται ότι οι πληροφορίες είναι κατανοητές, χωρίς να υπερβαίνουν το επίπεδο πολυπλοκότητας B2 (καλή γνώση) του Κοινού Ευρωπαϊκού Πλαισίου Αναφοράς για τις Γλώσσες του Συμβουλίου της Ευρώπης, στ) ηλεκτρονικά βιβλία:</w:t>
      </w:r>
    </w:p>
    <w:p>
      <w:pPr>
        <w:pStyle w:val="StructureList1"/>
        <w:spacing w:before="120" w:after="0"/>
        <w:rPr>
          <w:lang w:val="el" w:eastAsia="el"/>
        </w:rPr>
      </w:pPr>
      <w:r>
        <w:rPr>
          <w:lang w:val="el" w:eastAsia="el"/>
        </w:rPr>
        <w:t>στα)</w:t>
      </w:r>
      <w:r>
        <w:rPr>
          <w:lang w:val="en" w:eastAsia="en"/>
        </w:rPr>
        <w:tab/>
      </w:r>
      <w:r>
        <w:rPr>
          <w:lang w:val="el" w:eastAsia="el"/>
        </w:rPr>
        <w:t>να εξασφαλίζεται ότι, όταν ένα ηλεκτρονικό βιβλίο περιέχει και ήχο επιπλέον του κειμένου, τότε παρέχει συγχρονισμένο κείμενο και ήχο,</w:t>
      </w:r>
    </w:p>
    <w:p>
      <w:pPr>
        <w:pStyle w:val="StructureList1"/>
        <w:spacing w:before="120" w:after="0"/>
        <w:rPr>
          <w:lang w:val="el" w:eastAsia="el"/>
        </w:rPr>
      </w:pPr>
      <w:r>
        <w:rPr>
          <w:lang w:val="el" w:eastAsia="el"/>
        </w:rPr>
        <w:t>στβ)</w:t>
      </w:r>
      <w:r>
        <w:rPr>
          <w:lang w:val="en" w:eastAsia="en"/>
        </w:rPr>
        <w:tab/>
      </w:r>
      <w:r>
        <w:rPr>
          <w:lang w:val="el" w:eastAsia="el"/>
        </w:rPr>
        <w:t>να εξασφαλίζεται ότι τα ψηφιακά αρχεία των ηλεκτρονικών βιβλίων δεν εμποδίζουν την ορθή λειτουργία της υποστηρικτικής τεχνολογίας,</w:t>
      </w:r>
    </w:p>
    <w:p>
      <w:pPr>
        <w:pStyle w:val="StructureList1"/>
        <w:spacing w:before="120" w:after="0"/>
        <w:rPr>
          <w:lang w:val="el" w:eastAsia="el"/>
        </w:rPr>
      </w:pPr>
      <w:r>
        <w:rPr>
          <w:lang w:val="el" w:eastAsia="el"/>
        </w:rPr>
        <w:t>στγ)</w:t>
      </w:r>
      <w:r>
        <w:rPr>
          <w:lang w:val="en" w:eastAsia="en"/>
        </w:rPr>
        <w:tab/>
      </w:r>
      <w:r>
        <w:rPr>
          <w:lang w:val="el" w:eastAsia="el"/>
        </w:rPr>
        <w:t>να εξασφαλίζονται η πρόσβαση ατόμων με αναπηρία στο περιεχόμενο, η πλοήγηση στο περιεχόμενο και τη διάταξη του αρχείου, συμπεριλαμβανομένης της δυναμικής διάταξης, η παροχή της δομής, της ευελιξίας και της επιλογής όσον αφορά την παρουσίαση του περιεχομένου,</w:t>
      </w:r>
    </w:p>
    <w:p>
      <w:pPr>
        <w:pStyle w:val="StructureList1"/>
        <w:spacing w:before="120" w:after="0"/>
        <w:rPr>
          <w:lang w:val="el" w:eastAsia="el"/>
        </w:rPr>
      </w:pPr>
      <w:r>
        <w:rPr>
          <w:lang w:val="el" w:eastAsia="el"/>
        </w:rPr>
        <w:t>στδ)</w:t>
      </w:r>
      <w:r>
        <w:rPr>
          <w:lang w:val="en" w:eastAsia="en"/>
        </w:rPr>
        <w:tab/>
      </w:r>
      <w:r>
        <w:rPr>
          <w:lang w:val="el" w:eastAsia="el"/>
        </w:rPr>
        <w:t>να επιτρέπονται εναλλακτικές αποδόσεις του περιεχομένου και η διαλειτουργικότητά του με διάφορες υποστηρικτικές τεχνολογίες κατά τρόπο αντιληπτό, κατανοητό, εύχρηστο, προσβάσιμο σε όλους και αξιόπιστο, στε) να είναι ανευρέσιμα με την παροχή πληροφοριών μέσω μεταδεδομένων σχετικά με τα χαρακτηριστικά προσβασιμότητάς τους,</w:t>
      </w:r>
    </w:p>
    <w:p>
      <w:pPr>
        <w:pStyle w:val="StructureList1"/>
        <w:spacing w:before="120" w:after="0"/>
        <w:rPr>
          <w:lang w:val="el" w:eastAsia="el"/>
        </w:rPr>
      </w:pPr>
      <w:r>
        <w:rPr>
          <w:lang w:val="el" w:eastAsia="el"/>
        </w:rPr>
        <w:t>στζ)</w:t>
      </w:r>
      <w:r>
        <w:rPr>
          <w:lang w:val="en" w:eastAsia="en"/>
        </w:rPr>
        <w:tab/>
      </w:r>
      <w:r>
        <w:rPr>
          <w:lang w:val="el" w:eastAsia="el"/>
        </w:rPr>
        <w:t>να διασφαλίζεται ότι τα μέτρα διαχείρισης ψηφιακών δικαιωμάτων δεν εμποδίζουν τη λειτουργία των χαρακτηριστικών προσβασιμότητας,</w:t>
      </w:r>
    </w:p>
    <w:p>
      <w:pPr>
        <w:pStyle w:val="StructureList1"/>
        <w:spacing w:before="120" w:after="0"/>
        <w:rPr>
          <w:lang w:val="el" w:eastAsia="el"/>
        </w:rPr>
      </w:pPr>
      <w:r>
        <w:rPr>
          <w:lang w:val="el" w:eastAsia="el"/>
        </w:rPr>
        <w:t>ζ)</w:t>
      </w:r>
      <w:r>
        <w:rPr>
          <w:lang w:val="en" w:eastAsia="en"/>
        </w:rPr>
        <w:tab/>
      </w:r>
      <w:r>
        <w:rPr>
          <w:lang w:val="el" w:eastAsia="el"/>
        </w:rPr>
        <w:t>υπηρεσίες ηλεκτρονικού εμπορίου:</w:t>
      </w:r>
    </w:p>
    <w:p>
      <w:pPr>
        <w:pStyle w:val="StructureList1"/>
        <w:spacing w:before="120" w:after="0"/>
        <w:rPr>
          <w:lang w:val="el" w:eastAsia="el"/>
        </w:rPr>
      </w:pPr>
      <w:r>
        <w:rPr>
          <w:lang w:val="el" w:eastAsia="el"/>
        </w:rPr>
        <w:t>ζα)</w:t>
      </w:r>
      <w:r>
        <w:rPr>
          <w:lang w:val="en" w:eastAsia="en"/>
        </w:rPr>
        <w:tab/>
      </w:r>
      <w:r>
        <w:rPr>
          <w:lang w:val="el" w:eastAsia="el"/>
        </w:rPr>
        <w:t>με την παροχή σε προσβάσιμες μορφές των πληροφοριών που αφορούν στην προσβασιμότητα των προϊόντων και των υπηρεσιών που πωλούνται, όταν οι πληροφορίες αυτές παρέχονται από τον αρμόδιο οικονομικό φορέα, ζβ) με τη διασφάλιση της προσβασιμότητας της λειτουργίας ταυτοποίησης, ασφάλειας και πληρωμής, όταν παρέχεται ως μέρος υπηρεσίας αντί προϊόντος, καθιστώντας την αντιληπτή, εύχρηστη, κατανοητή, προσβάσιμη σε όλους και αξιόπιστη,</w:t>
      </w:r>
    </w:p>
    <w:p>
      <w:pPr>
        <w:pStyle w:val="StructureList1"/>
        <w:spacing w:before="120" w:after="0"/>
        <w:rPr>
          <w:lang w:val="el" w:eastAsia="el"/>
        </w:rPr>
      </w:pPr>
      <w:r>
        <w:rPr>
          <w:lang w:val="el" w:eastAsia="el"/>
        </w:rPr>
        <w:t>ζγ)</w:t>
      </w:r>
      <w:r>
        <w:rPr>
          <w:lang w:val="en" w:eastAsia="en"/>
        </w:rPr>
        <w:tab/>
      </w:r>
      <w:r>
        <w:rPr>
          <w:lang w:val="el" w:eastAsia="el"/>
        </w:rPr>
        <w:t>με την παροχή μεθόδων ταυτοποίησης, ηλεκτρονικών υπογραφών και υπηρεσιών πληρωμής που μπορούν να γίνουν αντιληπτά και είναι εύχρηστα, κατανοητά , προσβάσιμα σε όλους και αξιόπιστα.</w:t>
      </w:r>
    </w:p>
    <w:p>
      <w:pPr>
        <w:pStyle w:val="Heading2"/>
        <w:spacing w:before="240" w:after="240"/>
        <w:rPr>
          <w:lang w:val="el" w:eastAsia="el"/>
        </w:rPr>
      </w:pPr>
      <w:r>
        <w:rPr>
          <w:rStyle w:val="hierarchy-num"/>
          <w:b/>
          <w:bCs/>
          <w:lang w:val="el" w:eastAsia="el"/>
        </w:rPr>
        <w:t>Τμήμα V</w:t>
      </w:r>
    </w:p>
    <w:p>
      <w:pPr>
        <w:spacing w:before="240" w:after="240"/>
        <w:rPr>
          <w:lang w:val="el" w:eastAsia="el"/>
        </w:rPr>
      </w:pPr>
      <w:r>
        <w:rPr>
          <w:b/>
          <w:bCs/>
          <w:lang w:val="el" w:eastAsia="el"/>
        </w:rPr>
        <w:t>Ειδικές απαιτήσεις προσβασιμότητας όσον αφορά την απάντηση στις επικοινωνίες έκτακτης ανάγκης προςτον ενιαίο ευρωπαϊκό αριθμό έκτακτης ανάγκης «112» από το πλέον κατάλληλο «PSAP»</w:t>
      </w:r>
    </w:p>
    <w:p>
      <w:pPr>
        <w:spacing w:before="240" w:after="240"/>
        <w:rPr>
          <w:lang w:val="el" w:eastAsia="el"/>
        </w:rPr>
      </w:pPr>
      <w:r>
        <w:rPr>
          <w:lang w:val="el" w:eastAsia="el"/>
        </w:rPr>
        <w:t>Προκειμένου να μεγιστοποιηθεί η προβλεπόμενη χρήση από άτομα με αναπηρία των επικοινωνιών έκτακτης ανάγκης προς τον ενιαίο ευρωπαϊκό αριθμό έκτακτης ανάγκης «112» από το πλέον κατάλληλο «PSAP», η απάντηση στις εν λόγω επικοινωνίες επιτυγχάνεται με λειτουργίες, πρακτικές, πολιτικές και διαδικασίες, καθώς και αλλαγές που στοχεύουν ειδικά στην κάλυψη των αναγκών των ατόμων με αναπηρία.</w:t>
      </w:r>
    </w:p>
    <w:p>
      <w:pPr>
        <w:spacing w:before="240" w:after="240"/>
        <w:rPr>
          <w:lang w:val="el" w:eastAsia="el"/>
        </w:rPr>
      </w:pPr>
      <w:r>
        <w:rPr>
          <w:lang w:val="el" w:eastAsia="el"/>
        </w:rPr>
        <w:t>Οι επικοινωνίες έκτακτης ανάγκης προς τον ενιαίο ευρωπαϊκό αριθμό έκτακτης ανάγκης «112» λαμβάνουν κατάλληλη απάντηση, με τον τρόπο που αρμόζει καλύτερα στην εθνική οργάνωση των συστημάτων έκτακτης ανάγκης, στο πλέον κατάλληλο «PSAP», χρησιμοποιώντας τα ίδια μέσα επικοινωνίας με αυτά που χρησιμοποιήθηκαν για τη λήψη, δηλαδή με τη χρήση συγχρονισμένης φωνής και κειμένου (συμπεριλαμβανομένου κειμένου σε πραγματικό χρόνο), ή, όταν παρέχεται βίντεο, φωνής, κειμένου (συμπεριλαμβανομένου κειμένου σε πραγματικό χρόνο) και βίντεο συγχρονισμένων ως πλήρους συνομιλίας (επικοινωνία μέσω νοηματικής γλώσσας).</w:t>
      </w:r>
    </w:p>
    <w:p>
      <w:pPr>
        <w:pStyle w:val="Heading2"/>
        <w:spacing w:before="240" w:after="240"/>
        <w:rPr>
          <w:lang w:val="el" w:eastAsia="el"/>
        </w:rPr>
      </w:pPr>
      <w:r>
        <w:rPr>
          <w:rStyle w:val="hierarchy-num"/>
          <w:b/>
          <w:bCs/>
          <w:lang w:val="el" w:eastAsia="el"/>
        </w:rPr>
        <w:t>Τμήμα VI</w:t>
      </w:r>
    </w:p>
    <w:p>
      <w:pPr>
        <w:spacing w:before="240" w:after="240"/>
        <w:rPr>
          <w:lang w:val="el" w:eastAsia="el"/>
        </w:rPr>
      </w:pPr>
      <w:r>
        <w:rPr>
          <w:b/>
          <w:bCs/>
          <w:lang w:val="el" w:eastAsia="el"/>
        </w:rPr>
        <w:t xml:space="preserve">Απαιτήσεις προσβασιμότητας για χαρακτηριστικά, </w:t>
      </w:r>
    </w:p>
    <w:p>
      <w:pPr>
        <w:spacing w:before="240" w:after="240"/>
        <w:rPr>
          <w:lang w:val="el" w:eastAsia="el"/>
        </w:rPr>
      </w:pPr>
      <w:r>
        <w:rPr>
          <w:b/>
          <w:bCs/>
          <w:lang w:val="el" w:eastAsia="el"/>
        </w:rPr>
        <w:t>στοιχεία ή λειτουργίες προϊόντων και υπηρεσιώνσύμφωνα με την παρ. 2 του άρθρου 25</w:t>
      </w:r>
    </w:p>
    <w:p>
      <w:pPr>
        <w:spacing w:before="240" w:after="240"/>
        <w:rPr>
          <w:lang w:val="el" w:eastAsia="el"/>
        </w:rPr>
      </w:pPr>
      <w:r>
        <w:rPr>
          <w:lang w:val="el" w:eastAsia="el"/>
        </w:rPr>
        <w:t>Η εκπλήρωση των σχετικών υποχρεώσεων που ορίζονται σε άλλες πράξεις της Ευρωπαϊκής Ένωσης σχετικά με χαρακτηριστικά, στοιχεία ή λειτουργίες των προϊόντων και των υπηρεσιών, τεκμαίρεται εφόσον πληρούνται οι ακόλουθες προϋποθέσεις:</w:t>
      </w:r>
    </w:p>
    <w:p>
      <w:pPr>
        <w:spacing w:before="240" w:after="240"/>
        <w:rPr>
          <w:lang w:val="el" w:eastAsia="el"/>
        </w:rPr>
      </w:pPr>
      <w:r>
        <w:rPr>
          <w:lang w:val="el" w:eastAsia="el"/>
        </w:rPr>
        <w:t>1. Προϊόντα</w:t>
      </w:r>
    </w:p>
    <w:p>
      <w:pPr>
        <w:pStyle w:val="StructureList1"/>
        <w:spacing w:before="120" w:after="0"/>
        <w:rPr>
          <w:lang w:val="el" w:eastAsia="el"/>
        </w:rPr>
      </w:pPr>
      <w:r>
        <w:rPr>
          <w:lang w:val="el" w:eastAsia="el"/>
        </w:rPr>
        <w:t>α)</w:t>
      </w:r>
      <w:r>
        <w:rPr>
          <w:lang w:val="en" w:eastAsia="en"/>
        </w:rPr>
        <w:tab/>
      </w:r>
      <w:r>
        <w:rPr>
          <w:lang w:val="el" w:eastAsia="el"/>
        </w:rPr>
        <w:t>Η προσβασιμότητα των πληροφοριών σχετικά με τη λειτουργία και τα χαρακτηριστικά προσβασιμότητας για προϊόντα πληροί τα αντίστοιχα στοιχεία που καθορίζονται στην παρ. 1 του Τμήματος I του παρόντος Παραρτήματος, ήτοι οι πληροφορίες σχετικά με τη χρήση του προϊόντος παρέχονται πάνω στο ίδιο το προϊόν και οι οδηγίες χρήσης του προϊόντος που δεν παρέχονται στο ίδιο το προϊόν καθίστανται διαθέσιμες κατά τη χρήση του προϊόντος ή με άλλα μέσα, όπως δικτυακό τόπο.</w:t>
      </w:r>
    </w:p>
    <w:p>
      <w:pPr>
        <w:pStyle w:val="StructureList1"/>
        <w:spacing w:before="120" w:after="0"/>
        <w:rPr>
          <w:lang w:val="el" w:eastAsia="el"/>
        </w:rPr>
      </w:pPr>
      <w:r>
        <w:rPr>
          <w:lang w:val="el" w:eastAsia="el"/>
        </w:rPr>
        <w:t>β)</w:t>
      </w:r>
      <w:r>
        <w:rPr>
          <w:lang w:val="en" w:eastAsia="en"/>
        </w:rPr>
        <w:tab/>
      </w:r>
      <w:r>
        <w:rPr>
          <w:lang w:val="el" w:eastAsia="el"/>
        </w:rPr>
        <w:t>Η προσβασιμότητα των χαρακτηριστικών, στοιχείων και λειτουργιών της διεπαφής χρήστη και ο λειτουργικός σχεδιασμός των προϊόντων συμμορφώνονται με τις αντίστοιχες απαιτήσεις προσβασιμότητας της εν λόγω διεπαφής χρήστη ή λειτουργικού σχεδιασμού που ορίζονται στην παρ. 2 του Τμήματος I του παρόντος Παραρτήματος.</w:t>
      </w:r>
    </w:p>
    <w:p>
      <w:pPr>
        <w:pStyle w:val="StructureList1"/>
        <w:spacing w:before="120" w:after="0"/>
        <w:rPr>
          <w:lang w:val="el" w:eastAsia="el"/>
        </w:rPr>
      </w:pPr>
      <w:r>
        <w:rPr>
          <w:lang w:val="el" w:eastAsia="el"/>
        </w:rPr>
        <w:t>γ)</w:t>
      </w:r>
      <w:r>
        <w:rPr>
          <w:lang w:val="en" w:eastAsia="en"/>
        </w:rPr>
        <w:tab/>
      </w:r>
      <w:r>
        <w:rPr>
          <w:lang w:val="el" w:eastAsia="el"/>
        </w:rPr>
        <w:t>Η προσβασιμότητα της συσκευασίας, συμπεριλαμβανομένων των πληροφοριών που παρέχονται σε αυτήν και των οδηγιών για την εγκατάσταση και συντήρηση, αποθήκευση και διάθεση του προϊόντος που δεν παρέχονται στο ίδιο το προϊόν αλλά διατίθενται με άλλα μέσα, όπως μέσω δικτυακού τόπου, πλην των τερματικών αυτοεξυπηρέτησης, συμμορφώνεται με τις αντίστοιχες απαιτήσεις προσβασιμότητας που ορίζονται στο Τμήμα II του παρόντος Παραρτήματος.</w:t>
      </w:r>
    </w:p>
    <w:p>
      <w:pPr>
        <w:spacing w:before="240" w:after="240"/>
        <w:rPr>
          <w:lang w:val="el" w:eastAsia="el"/>
        </w:rPr>
      </w:pPr>
      <w:r>
        <w:rPr>
          <w:lang w:val="el" w:eastAsia="el"/>
        </w:rPr>
        <w:t>2. Υπηρεσίες</w:t>
      </w:r>
    </w:p>
    <w:p>
      <w:pPr>
        <w:spacing w:before="240" w:after="240"/>
        <w:rPr>
          <w:lang w:val="el" w:eastAsia="el"/>
        </w:rPr>
      </w:pPr>
      <w:r>
        <w:rPr>
          <w:lang w:val="el" w:eastAsia="el"/>
        </w:rPr>
        <w:t>Η προσβασιμότητα των χαρακτηριστικών, στοιχείων και λειτουργιών των υπηρεσιών συμμορφώνεται με τις αντίστοιχες απαιτήσεις προσβασιμότητας για τα εν λόγω χαρακτηριστικά, στοιχεία και λειτουργίες που αφορούν στις υπηρεσίες που ορίζονται στα σχετικά με τις υπηρεσίες τμήματα του παρόντος Παραρτήματος.</w:t>
      </w:r>
    </w:p>
    <w:p>
      <w:pPr>
        <w:pStyle w:val="Heading2"/>
        <w:spacing w:before="240" w:after="240"/>
        <w:rPr>
          <w:lang w:val="el" w:eastAsia="el"/>
        </w:rPr>
      </w:pPr>
      <w:r>
        <w:rPr>
          <w:rStyle w:val="hierarchy-num"/>
          <w:b/>
          <w:bCs/>
          <w:lang w:val="el" w:eastAsia="el"/>
        </w:rPr>
        <w:t>Τμήμα VII</w:t>
      </w:r>
    </w:p>
    <w:p>
      <w:pPr>
        <w:spacing w:before="240" w:after="240"/>
        <w:rPr>
          <w:lang w:val="el" w:eastAsia="el"/>
        </w:rPr>
      </w:pPr>
      <w:r>
        <w:rPr>
          <w:b/>
          <w:bCs/>
          <w:lang w:val="el" w:eastAsia="el"/>
        </w:rPr>
        <w:t>Κριτήρια λειτουργικής απόδοσης</w:t>
      </w:r>
    </w:p>
    <w:p>
      <w:pPr>
        <w:spacing w:before="240" w:after="240"/>
        <w:rPr>
          <w:lang w:val="el" w:eastAsia="el"/>
        </w:rPr>
      </w:pPr>
      <w:r>
        <w:rPr>
          <w:lang w:val="el" w:eastAsia="el"/>
        </w:rPr>
        <w:t>Προκειμένου να μεγιστοποιηθεί η προβλεπόμενη χρήση τους από άτομα με αναπηρία, όταν οι απαιτήσεις προσβασιμότητας, που καθορίζονται στα Τμήματα I έως VI του παρόντος Παραρτήματος, δεν αφορούν σε μια ή περισσότερες από τις λειτουργίες του σχεδιασμού και της παραγωγής των προϊόντων ή της παροχής υπηρεσιών, οι εν λόγω λειτουργίες ή μέσα είναι προσβάσιμα, μέσω της συμμόρφωσης με τα σχετικά κριτήρια λειτουργικής απόδοσης.</w:t>
      </w:r>
    </w:p>
    <w:p>
      <w:pPr>
        <w:spacing w:before="240" w:after="240"/>
        <w:rPr>
          <w:lang w:val="el" w:eastAsia="el"/>
        </w:rPr>
      </w:pPr>
      <w:r>
        <w:rPr>
          <w:lang w:val="el" w:eastAsia="el"/>
        </w:rPr>
        <w:t>Τα κριτήρια λειτουργικής απόδοσης μπορούν να χρησιμοποιούνται μόνον εναλλακτικά αντί ενός ή περισσοτέρων ειδικών τεχνικών απαιτήσεων, όταν γίνεται αναφορά σε αυτά στις απαιτήσεις προσβασιμότητας, εάν και μόνον εάν η εφαρμογή των εκάστοτε κριτηρίων λειτουργικής απόδοσης συμμορφώνεται με τις απαιτήσεις προσβασιμότητας και συνεπάγεται ότι ο σχεδιασμός και η παραγωγή των προϊόντων και η παροχή υπηρεσιών έχουν ως αποτέλεσμα ισοδύναμη ή αυξημένη προσβασιμότητα για την προβλεπόμενη χρήση τους από άτομα με αναπηρία.</w:t>
      </w:r>
    </w:p>
    <w:p>
      <w:pPr>
        <w:pStyle w:val="StructureList1"/>
        <w:spacing w:before="120" w:after="0"/>
        <w:rPr>
          <w:lang w:val="el" w:eastAsia="el"/>
        </w:rPr>
      </w:pPr>
      <w:r>
        <w:rPr>
          <w:lang w:val="el" w:eastAsia="el"/>
        </w:rPr>
        <w:t>α)</w:t>
      </w:r>
      <w:r>
        <w:rPr>
          <w:lang w:val="en" w:eastAsia="en"/>
        </w:rPr>
        <w:tab/>
      </w:r>
      <w:r>
        <w:rPr>
          <w:lang w:val="el" w:eastAsia="el"/>
        </w:rPr>
        <w:t>Χρήση από μη βλέποντα άτομα</w:t>
      </w:r>
    </w:p>
    <w:p>
      <w:pPr>
        <w:spacing w:before="240" w:after="240"/>
        <w:rPr>
          <w:lang w:val="el" w:eastAsia="el"/>
        </w:rPr>
      </w:pPr>
      <w:r>
        <w:rPr>
          <w:lang w:val="el" w:eastAsia="el"/>
        </w:rPr>
        <w:t>Όταν το προϊόν ή η υπηρεσία παρέχει οπτικούς τρόπους λειτουργίας, παρέχει τουλάχιστον έναν τρόπο λειτουργίας που δεν απαιτεί ικανότητα όρασης.</w:t>
      </w:r>
    </w:p>
    <w:p>
      <w:pPr>
        <w:pStyle w:val="StructureList1"/>
        <w:spacing w:before="120" w:after="0"/>
        <w:rPr>
          <w:lang w:val="el" w:eastAsia="el"/>
        </w:rPr>
      </w:pPr>
      <w:r>
        <w:rPr>
          <w:lang w:val="el" w:eastAsia="el"/>
        </w:rPr>
        <w:t>β)</w:t>
      </w:r>
      <w:r>
        <w:rPr>
          <w:lang w:val="en" w:eastAsia="en"/>
        </w:rPr>
        <w:tab/>
      </w:r>
      <w:r>
        <w:rPr>
          <w:lang w:val="el" w:eastAsia="el"/>
        </w:rPr>
        <w:t>Χρήση από άτομα με περιορισμένη όραση</w:t>
      </w:r>
    </w:p>
    <w:p>
      <w:pPr>
        <w:spacing w:before="240" w:after="240"/>
        <w:rPr>
          <w:lang w:val="el" w:eastAsia="el"/>
        </w:rPr>
      </w:pPr>
      <w:r>
        <w:rPr>
          <w:lang w:val="el" w:eastAsia="el"/>
        </w:rPr>
        <w:t>Όταν το προϊόν ή η υπηρεσία παρέχει οπτικούς τρόπους λειτουργίας, παρέχει τουλάχιστον έναν τρόπο λειτουργίας που επιτρέπει στους χρήστες να χειρίζονται το προϊόν με περιορισμένη όραση.</w:t>
      </w:r>
    </w:p>
    <w:p>
      <w:pPr>
        <w:pStyle w:val="StructureList1"/>
        <w:spacing w:before="120" w:after="0"/>
        <w:rPr>
          <w:lang w:val="el" w:eastAsia="el"/>
        </w:rPr>
      </w:pPr>
      <w:r>
        <w:rPr>
          <w:lang w:val="el" w:eastAsia="el"/>
        </w:rPr>
        <w:t>γ)</w:t>
      </w:r>
      <w:r>
        <w:rPr>
          <w:lang w:val="en" w:eastAsia="en"/>
        </w:rPr>
        <w:tab/>
      </w:r>
      <w:r>
        <w:rPr>
          <w:lang w:val="el" w:eastAsia="el"/>
        </w:rPr>
        <w:t>Χρήση από άτομα με δυσκολία διάκρισης των χρωμάτων</w:t>
      </w:r>
    </w:p>
    <w:p>
      <w:pPr>
        <w:spacing w:before="240" w:after="240"/>
        <w:rPr>
          <w:lang w:val="el" w:eastAsia="el"/>
        </w:rPr>
      </w:pPr>
      <w:r>
        <w:rPr>
          <w:lang w:val="el" w:eastAsia="el"/>
        </w:rPr>
        <w:t>Όταν το προϊόν ή η υπηρεσία παρέχει οπτικούς τρόπους λειτουργίας, παρέχει τουλάχιστον έναν τρόπο λειτουργίας που δεν απαιτεί ικανότητα διάκρισης των χρωμάτων από τον χρήστη.</w:t>
      </w:r>
    </w:p>
    <w:p>
      <w:pPr>
        <w:pStyle w:val="StructureList1"/>
        <w:spacing w:before="120" w:after="0"/>
        <w:rPr>
          <w:lang w:val="el" w:eastAsia="el"/>
        </w:rPr>
      </w:pPr>
      <w:r>
        <w:rPr>
          <w:lang w:val="el" w:eastAsia="el"/>
        </w:rPr>
        <w:t>δ)</w:t>
      </w:r>
      <w:r>
        <w:rPr>
          <w:lang w:val="en" w:eastAsia="en"/>
        </w:rPr>
        <w:tab/>
      </w:r>
      <w:r>
        <w:rPr>
          <w:lang w:val="el" w:eastAsia="el"/>
        </w:rPr>
        <w:t>Χρήση από μη ακούοντα άτομα</w:t>
      </w:r>
    </w:p>
    <w:p>
      <w:pPr>
        <w:spacing w:before="240" w:after="240"/>
        <w:rPr>
          <w:lang w:val="el" w:eastAsia="el"/>
        </w:rPr>
      </w:pPr>
      <w:r>
        <w:rPr>
          <w:lang w:val="el" w:eastAsia="el"/>
        </w:rPr>
        <w:t>Όταν το προϊόν ή η υπηρεσία παρέχει ακουστικούς τρόπους λειτουργίας, παρέχει τουλάχιστον έναν τρόπο λειτουργίας που δεν απαιτεί ικανότητα ακοής.</w:t>
      </w:r>
    </w:p>
    <w:p>
      <w:pPr>
        <w:pStyle w:val="StructureList1"/>
        <w:spacing w:before="120" w:after="0"/>
        <w:rPr>
          <w:lang w:val="el" w:eastAsia="el"/>
        </w:rPr>
      </w:pPr>
      <w:r>
        <w:rPr>
          <w:lang w:val="el" w:eastAsia="el"/>
        </w:rPr>
        <w:t>ε)</w:t>
      </w:r>
      <w:r>
        <w:rPr>
          <w:lang w:val="en" w:eastAsia="en"/>
        </w:rPr>
        <w:tab/>
      </w:r>
      <w:r>
        <w:rPr>
          <w:lang w:val="el" w:eastAsia="el"/>
        </w:rPr>
        <w:t>Χρήση από άτομα με περιορισμένη ακοή</w:t>
      </w:r>
    </w:p>
    <w:p>
      <w:pPr>
        <w:spacing w:before="240" w:after="240"/>
        <w:rPr>
          <w:lang w:val="el" w:eastAsia="el"/>
        </w:rPr>
      </w:pPr>
      <w:r>
        <w:rPr>
          <w:lang w:val="el" w:eastAsia="el"/>
        </w:rPr>
        <w:t>Όταν το προϊόν ή η υπηρεσία παρέχει ακουστικούς τρόπους λειτουργίας, παρέχει τουλάχιστον έναν τρόπο λειτουργίας με προηγμένα ηχητικά χαρακτηριστικά που επιτρέπει στους χρήστες με περιορισμένη ακοή να χειρίζονται το προϊόν.</w:t>
      </w:r>
    </w:p>
    <w:p>
      <w:pPr>
        <w:pStyle w:val="StructureList1"/>
        <w:spacing w:before="120" w:after="0"/>
        <w:rPr>
          <w:lang w:val="el" w:eastAsia="el"/>
        </w:rPr>
      </w:pPr>
      <w:r>
        <w:rPr>
          <w:lang w:val="el" w:eastAsia="el"/>
        </w:rPr>
        <w:t>στ)</w:t>
      </w:r>
      <w:r>
        <w:rPr>
          <w:lang w:val="en" w:eastAsia="en"/>
        </w:rPr>
        <w:tab/>
      </w:r>
      <w:r>
        <w:rPr>
          <w:lang w:val="el" w:eastAsia="el"/>
        </w:rPr>
        <w:t>Χρήση από άτομα χωρίς φωνητική ικανότητα</w:t>
      </w:r>
    </w:p>
    <w:p>
      <w:pPr>
        <w:spacing w:before="240" w:after="240"/>
        <w:rPr>
          <w:lang w:val="el" w:eastAsia="el"/>
        </w:rPr>
      </w:pPr>
      <w:r>
        <w:rPr>
          <w:lang w:val="el" w:eastAsia="el"/>
        </w:rPr>
        <w:t>Όταν το προϊόν ή η υπηρεσία απαιτεί φωνητική εισροή από τους χρήστες, παρέχει τουλάχιστον έναν τρόπο λειτουργίας που δεν απαιτεί φωνητική εισροή. Η φωνητική εισροή περιλαμβάνει κάθε προφορικώς παραγόμενο ήχο, όπως ομιλία, συριγμούς ή κλικ.</w:t>
      </w:r>
    </w:p>
    <w:p>
      <w:pPr>
        <w:pStyle w:val="StructureList1"/>
        <w:spacing w:before="120" w:after="0"/>
        <w:rPr>
          <w:lang w:val="el" w:eastAsia="el"/>
        </w:rPr>
      </w:pPr>
      <w:r>
        <w:rPr>
          <w:lang w:val="el" w:eastAsia="el"/>
        </w:rPr>
        <w:t>ζ)</w:t>
      </w:r>
      <w:r>
        <w:rPr>
          <w:lang w:val="en" w:eastAsia="en"/>
        </w:rPr>
        <w:tab/>
      </w:r>
      <w:r>
        <w:rPr>
          <w:lang w:val="el" w:eastAsia="el"/>
        </w:rPr>
        <w:t>Χρήση από άτομα με περιορισμένη ικανότητα χειρισμού αντικειμένων ή με περιορισμένη δύναμη</w:t>
      </w:r>
    </w:p>
    <w:p>
      <w:pPr>
        <w:spacing w:before="240" w:after="240"/>
        <w:rPr>
          <w:lang w:val="el" w:eastAsia="el"/>
        </w:rPr>
      </w:pPr>
      <w:r>
        <w:rPr>
          <w:lang w:val="el" w:eastAsia="el"/>
        </w:rPr>
        <w:t>Όταν το προϊόν ή η υπηρεσία απαιτεί χειρωνακτικές ενέργειες, προβλέπεται τουλάχιστον ένας τρόπος λειτουργίας που επιτρέπει στους χρήστες να το χρησιμοποιούν μέσω εναλλακτικών ενεργειών που δεν απαιτούν έλεγχο μικροκινήσεων και χειρισμό, δύναμη χεριού ή ταυτόχρονο χειρισμό περισσοτέρων του ενός ελέγχων.</w:t>
      </w:r>
    </w:p>
    <w:p>
      <w:pPr>
        <w:pStyle w:val="StructureList1"/>
        <w:spacing w:before="120" w:after="0"/>
        <w:rPr>
          <w:lang w:val="el" w:eastAsia="el"/>
        </w:rPr>
      </w:pPr>
      <w:r>
        <w:rPr>
          <w:lang w:val="el" w:eastAsia="el"/>
        </w:rPr>
        <w:t>η)</w:t>
      </w:r>
      <w:r>
        <w:rPr>
          <w:lang w:val="en" w:eastAsia="en"/>
        </w:rPr>
        <w:tab/>
      </w:r>
      <w:r>
        <w:rPr>
          <w:lang w:val="el" w:eastAsia="el"/>
        </w:rPr>
        <w:t>Χρήση για περιορισμένο εύρος κινήσεων</w:t>
      </w:r>
    </w:p>
    <w:p>
      <w:pPr>
        <w:spacing w:before="240" w:after="240"/>
        <w:rPr>
          <w:lang w:val="el" w:eastAsia="el"/>
        </w:rPr>
      </w:pPr>
      <w:r>
        <w:rPr>
          <w:lang w:val="el" w:eastAsia="el"/>
        </w:rPr>
        <w:t>Τα λειτουργικά στοιχεία των προϊόντων είναι προσπελάσιμα για όλους τους χρήστες. Όταν το προϊόν ή η υπηρεσία έχει χειροκίνητο τρόπο λειτουργίας, προβλέπεται τουλάχιστον ένας τρόπος λειτουργίας που επιτρέπει στους χρήστες να το χρησιμοποιούν με περιορισμένο εύρος κινήσεων και περιορισμένη δύναμη.</w:t>
      </w:r>
    </w:p>
    <w:p>
      <w:pPr>
        <w:pStyle w:val="StructureList1"/>
        <w:spacing w:before="120" w:after="0"/>
        <w:rPr>
          <w:lang w:val="el" w:eastAsia="el"/>
        </w:rPr>
      </w:pPr>
      <w:r>
        <w:rPr>
          <w:lang w:val="el" w:eastAsia="el"/>
        </w:rPr>
        <w:t>θ)</w:t>
      </w:r>
      <w:r>
        <w:rPr>
          <w:lang w:val="en" w:eastAsia="en"/>
        </w:rPr>
        <w:tab/>
      </w:r>
      <w:r>
        <w:rPr>
          <w:lang w:val="el" w:eastAsia="el"/>
        </w:rPr>
        <w:t>Ελαχιστοποίηση του κινδύνου πρόκλησης επιληπτικών κρίσεων εξαιτίας φωτοευαισθησίας</w:t>
      </w:r>
    </w:p>
    <w:p>
      <w:pPr>
        <w:spacing w:before="240" w:after="240"/>
        <w:rPr>
          <w:lang w:val="el" w:eastAsia="el"/>
        </w:rPr>
      </w:pPr>
      <w:r>
        <w:rPr>
          <w:lang w:val="el" w:eastAsia="el"/>
        </w:rPr>
        <w:t>Όταν το προϊόν παρέχει οπτικούς τρόπους λειτουργίας, αποφεύγονται οι τρόποι λειτουργίας που προκαλούν κρίσεις φωτοευαισθησίας.</w:t>
      </w:r>
    </w:p>
    <w:p>
      <w:pPr>
        <w:pStyle w:val="StructureList1"/>
        <w:spacing w:before="120" w:after="0"/>
        <w:rPr>
          <w:lang w:val="el" w:eastAsia="el"/>
        </w:rPr>
      </w:pPr>
      <w:r>
        <w:rPr>
          <w:lang w:val="el" w:eastAsia="el"/>
        </w:rPr>
        <w:t>ι)</w:t>
      </w:r>
      <w:r>
        <w:rPr>
          <w:lang w:val="en" w:eastAsia="en"/>
        </w:rPr>
        <w:tab/>
      </w:r>
      <w:r>
        <w:rPr>
          <w:lang w:val="el" w:eastAsia="el"/>
        </w:rPr>
        <w:t>Χρήση από άτομα με περιορισμένη γνωστική λειτουργία</w:t>
      </w:r>
    </w:p>
    <w:p>
      <w:pPr>
        <w:spacing w:before="240" w:after="240"/>
        <w:rPr>
          <w:lang w:val="el" w:eastAsia="el"/>
        </w:rPr>
      </w:pPr>
      <w:r>
        <w:rPr>
          <w:lang w:val="el" w:eastAsia="el"/>
        </w:rPr>
        <w:t>Το προϊόν ή η υπηρεσία παρέχει τουλάχιστον έναν τρόπο λειτουργίας με χαρακτηριστικά που καθιστούν απλούστερη και ευκολότερη τη χρήση του.</w:t>
      </w:r>
    </w:p>
    <w:p>
      <w:pPr>
        <w:pStyle w:val="StructureList1"/>
        <w:spacing w:before="120" w:after="0"/>
        <w:rPr>
          <w:lang w:val="el" w:eastAsia="el"/>
        </w:rPr>
      </w:pPr>
      <w:r>
        <w:rPr>
          <w:lang w:val="el" w:eastAsia="el"/>
        </w:rPr>
        <w:t>ια)</w:t>
      </w:r>
      <w:r>
        <w:rPr>
          <w:lang w:val="en" w:eastAsia="en"/>
        </w:rPr>
        <w:tab/>
      </w:r>
      <w:r>
        <w:rPr>
          <w:lang w:val="el" w:eastAsia="el"/>
        </w:rPr>
        <w:t>Ιδιωτικότητα</w:t>
      </w:r>
    </w:p>
    <w:p>
      <w:pPr>
        <w:spacing w:before="240" w:after="240"/>
        <w:rPr>
          <w:lang w:val="el" w:eastAsia="el"/>
        </w:rPr>
      </w:pPr>
      <w:r>
        <w:rPr>
          <w:lang w:val="el" w:eastAsia="el"/>
        </w:rPr>
        <w:t>Όταν το προϊόν ή η υπηρεσία παρέχει χαρακτηριστικά που εξασφαλίζουν την προσβασιμότητα, παρέχει τουλάχιστον έναν τρόπο λειτουργίας που προστατεύει την ιδιωτικότητα των χρηστών όταν χρησιμοποιούν τα εν λόγω χαρακτηριστικά που διασφαλίζουν την προσβασιμότητα.</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ΕΝΔΕΙΚΤΙΚΑ ΜΗ ΔΕΣΜΕΥΤΙΚΑ ΠΑΡΑΔΕΙΓΜΑΤΑ ΔΥΝΗΤΙΚΩΝ ΛΥΣΕΩΝ ΠΟΥ ΣΥΜΒΑΛΛΟΥΝΣΤΗΝ ΕΚΠΛΗΡΩΣΗ ΤΩΝ ΑΠΑΙΤΗΣΕΩΝ ΠΡΟΣΒΑΣΙΜΟΤΗΤΑΣ ΤΟΥ ΠΑΡΑΡΤΗΜΑΤΟΣ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0"/>
        <w:gridCol w:w="688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 ΠΑΡΑΔΕΙΓΜΑΤΑ ΣΧΕΤΙΚΑ ΜΕ ΤΙΣ ΓΕΝΙΚΕΣ ΑΠΑΙΤΗΣΕΙΣ ΠΡΟΣΒΑΣΙΜΟΤΗΤΑΣ ΓΙΑ ΚΑΟΕ ΠΡΟΪΟΝ ΠΟΥ ΚΑΛΥΠΤΕΤΑΙ ΑΠΟ ΤΗΝ ΠΑΡΟΥΣΑ ΟΔΗΓΙΑ ΣΥΜΦΩΝΑ ΜΕ ΤΗΝ ΠΑΡ. 1 ΤΟΥ ΑΡΟΡΟΥ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ΑΠΑΙΤΗΣΕΙΣ ΤΟΥ ΤΜΗΜΑΤΟΣ I ΤΟΥ ΠΑΡΑΡΤΗΜΑΤΟΣ</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ΠΑΡΑΔΕΙΓΜΑΤΑ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πληροφοριών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Παρέχονται οπτικές και απτικές πληροφορίες ή οπτικές και ακουστικές πληροφορίες που υποδεικνύουν το σημείο εισανωνής της κάρτας σε τερματικά αυτοεξυπηρέτησης ώστε τυφλοί και κωφοί να μπορούν να κάνουν χρήση του τερματικού.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Χρησιμοποιείται η ίδια διατύπωση με συνεπή τρόπο, ή με σαφή και λονική διάρθρωση ώστε τα άτομα με διανοητική αναπηρία να μπορούν να τις κατανοήσουν καλύτερα.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Παρέχεται ψηλαφητό ανάνλυφο ή ήχος επιπλέον της νραπτής προειδοποίησης, έτσι ώστε οι τυφλοί να μπορούν να την αντιλαμβάνονται.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κείμενο είναι αναννώσιμο και από άτομα με προβλήματα όρασης.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Παρέχονται ηλεκτρονικά αρχεία που μπορούν να διαβαστούν από υπολονιστή που χρησιμοποιεί αναννώστες οθόνης, ώστε οι τυφλοί να μπορούν να χρησιμοποιούν τις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Χρησιμοποιείται η ίδια διατύπωση με συνεπή τρόπο, ή με σαφή και λονική διάρθρωση ώστε τα άτομα με διανοητική αναπηρία να μπορούν να τις κατανοήσουν καλύτερα.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Υπάρχουν υπότιτλοι και διερμηνεία στη νοηματική νλώσσα όταν παρέχονται οδηνίες βίντεο.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κείμενο είναι αναννώσιμο και από άτομα με προβλήματα όρασης.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Εκτυπωμένο κείμενο σε νραφή Μπράιν, ώστε να μπορεί να χρησιμοποιηθεί από τυφλούς.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διανράμματα συνοδεύονται από περινραφικό κείμενο το οποίο επισημαίνει τα κυριότερα στοιχεία ή περινράφει βασικές δράσεις.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βζ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3"/>
        <w:gridCol w:w="8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Περιλαμβάνονται υποδοχή και λονισμικό στις αυτόματες ταμειακές μηχανές που επιτρέπουν τη σύνδεση ακουστικού το οποίο λαμβάνει το κείμενο επί της οθόνης σε μορφή ήχου.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Διεπαφή χρήστη και λειτουρνικός σχεδιασμός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Παρέχονται οδηνίες με τη χρήση φωνής και κειμένου, ή ενσωματώνονται απτικά σήματα στο πληκτρολόνιο, έτσι ώστε οι τυφλοί ή οι βαρήκοοι να μπορούν να αλληλεπιδρούν με το προϊόν.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τερματικά αυτοεξυπηρέτησης που προσφέρουν φωνητικές οδηνίες τις προσφέρουν επίσης με τη μορφή κειμένου ή εικόνων, ώστε και οι κωφοί να μπορούν να προβούν στην απαιτούμενη ενέρνεια.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Παρέχεται στον χρήστη η δυνατότητα μενέθυνσης του κειμένου, εστίασης σε συνκεκριμένο εικονόνραμμα ή αύξησης της αντίθεσης, ώστε τα άτομα με προβλήματα όρασης να μπορούν να αντιληφθούν τις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Επιπλέον σε τυχόν οδηνίες όπως «πατήστε το πράσινο ή το κόκκινο κουμπί» νια μια επιλονή, ανανράφεται στα κουμπιά ποιες είναι οι επιλονές, προκειμένου να μπορούν να κάνουν την επιλονή και όσοι πάσχουν από αχρωματοψία.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Οταν ένας υπολονιστής δίνει σήμα σφάλματος, παρέχει επίσης νραπτό κείμενο ή εικόνα που επισημαίνει το σφάλμα ώστε να επιτρέπει στους κωφούς να αντιλαμβάνονται ότι υπάρχει σφάλμα.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Παρέχεται δυνατότητα επιπλέον αντίθεσης στις εικόνες του πρώτου πλάνου ώστε να μπορούν να τις διακρίνουν άτομα με μειωμένη όραση.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Επιτρέπεται στον χρήστη τηλεφωνικής συσκευής να επιλέξει την ένταση του ήχου και να μειώσει τις παρεμβολές με βοηθήματα ακοής, έτσι ώστε οι βαρήκοοι να μπορούν να χρησιμοποιήσουν το τηλέφωνο.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οθόνες αφής διαθέτουν μεναλύτερα και καλά διαχωρισμένα κουμπιά, ώστε τα άτομα που πάσχουν από τρόμο να μπορούν να τα πιέσουν.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Εξασφαλίζεται ότι νια να πιεστούν τα πλήκτρα δεν απαιτείται μενάλη δύναμη, ώστε να μπορούν να τα χρησιμοποιήσουν άτομα με κινητική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Αποφεύνονται εικόνες που τρεμοπαίζουν, ώστε τα άτομα που παθαίνουν επιληπτικές κρίσεις να μην διατρέχουν κίνδυνο.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Επιτρέπεται η χρήση ακουστικών κεφαλής όταν παρέχονται σε αυτόματες ταμειακές μηχανές πληροφορίες μέσω ομιλίας.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Ως εναλλακτική δυνατότητα αντί της αναννώρισης δακτυλικών αποτυπωμάτων, επιτρέπεται στους χρήστες που δεν μπορούν να χρησιμοποιήσουν τα χέρια τους να επιλέξουν έναν κωδικό νια το κλείδωμα και ξεκλείδωμα τηλεφωνικής συσκευής.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Εξασφαλίζεται ότι το λονισμικό αντιδρά με προβλέψιμο τρόπο όταν διενερνείται μια συνκεκριμένη πράξη και παρέχεται αρκετός χρόνος νια εισανωνή του κωδικού πρόσβασης, ώστε να είναι εύχρηστο από άτομα με διανοητική αναπηρία.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0"/>
        <w:gridCol w:w="6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Παρέχεται σύνδεση με ανανεώσιμη οπτίκή απεικόνιση Μπράίγ ώστε να μπορούν τυφλοί να χρησιμοποιούν τον υπολογιστή.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Παραδείγματα είδίκών τομεακών απαιτήσεων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ίεβ)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i) υποπερ. ίεγ) περ. ίε)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ότί το κινητό τηλέφωνο επιτρέπει τον χειρισμό συνδιαλέξεων σε πραγματικό χρόνο, ώστε να μπορούν οί βαρήκοοι να ανταλλάσσουν πληροφορίες με αλληλεπιδραστικό τρόπο.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iv) υποπερ. ίεγ) περ. ίε)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Παρέχεταί η δυνατότητα ταυτόχρονης χρήσης βίντεο με απείκόνίση νοηματίκής γλώσσας καί κείμένου γία γραπτό μήνυμα ώστε δύο κωφοί να μπορούν να επίκοίνωνήσουν μεταξύ τους ή με άτομα που δεν έχουν πρόβλημα ακοής.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ίεδ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Οί υπότίτλοί μεταδίδονταί μέσω του μετατροπέα-αποκωδίκοποίητή γία να μπορούν να χρησίμοποίηθούν από κωφούς.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Υπηρεσίες υποστήριξης: Δεν παρέχεται παράδειγμα.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II:</w:t>
            </w:r>
          </w:p>
          <w:p>
            <w:pPr>
              <w:spacing w:before="240"/>
              <w:rPr>
                <w:b w:val="0"/>
                <w:bCs w:val="0"/>
                <w:i w:val="0"/>
                <w:iCs w:val="0"/>
                <w:smallCaps w:val="0"/>
                <w:color w:val="000000"/>
                <w:lang w:val="el" w:eastAsia="el"/>
              </w:rPr>
            </w:pPr>
            <w:r>
              <w:rPr>
                <w:b w:val="0"/>
                <w:bCs w:val="0"/>
                <w:i w:val="0"/>
                <w:iCs w:val="0"/>
                <w:smallCaps w:val="0"/>
                <w:color w:val="000000"/>
                <w:lang w:val="el" w:eastAsia="el"/>
              </w:rPr>
              <w:t>ΠΑΡΑΔΕΙΓΜΑΤΑ ΣΧΕΤΙΚΑ ΜΕ ΤΙΣ ΑΠΑΙΤΗΣΕΙΣ ΠΡΟΣΒΑΣΙΜΟΤΗΤΑΣ ΓΙΑ ΠΡΟΪΟΝΤΑ ΤΗΣ ΠΑΡ. 1 ΤΟΥ ΑΡΘΡΟΥ 3, ΕΞΑΙΡΟΥΜΕΝΩΝ ΤΩΝ ΤΕΡΜΑΤΙΚΩΝ ΑΥΤΟΕΞΥΠΗΡΕΤΗΣΗΣ ΤΗΣ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ΑΠΑΙΤΗΣΕΙΣ ΤΟΥ ΤΜΗΜΑΤΟΣ II ΤΟΥ ΠΑΡΑΡΤΗΜΑΤΟΣ</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ΠΑΡΑΔΕΙΓΜΑΤΑ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Συσκευασία καί οδηγίες των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Αναγράφεταί στη συσκευασία ότί η τηλεφωνίκή συσκευή περίέχεί χαρακτηρίστίκά πρόσβασης γία άτομα με αναπηρία.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Παρέχονταί ηλεκτρονίκά αρχεία που μπορούν να δίαβαστούν από υπολογίστή που χρησίμοποίεί αναγνώστες οθόνης, ώστε οί τυφλοί να μπορούν να χρησίμοποίούν τίς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ββ</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Χρησίμοποίείταί η ίδία δίατύπωση με συνεπή τρόπο, ή με σαφή καί λογίκή δίάρθρωση ούτως ώστε τα άτομα με δίανοητίκή αναπηρία να μπορούν να τίς κατανοήσουν καλύτερα.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Παρέχεταί ψηλαφητό ανάγλυφο ή ήχος όταν υπάρχεί γραπτή προείδοποίηση, έτσί ώστε καί οί τυφλοί να αντίλαμβάνονταί την προείδοποίηση.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βδ</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Λαμβάνεταί μέρίμνα ώστε το κείμενο να μπορεί να δίαβαστεί από άτομα με μείωμένη όραση.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0"/>
        <w:gridCol w:w="68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σε νραφή Μπράιν, ώστε να μπορεί να αναννωσθει από τυφλούς.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διανράμματα συνοδεύονται από περινραφικό κείμενο το οποίο επισημαίνει τα κυριότερα στοιχεία ή περινράφει βασικές δράσεις.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III: ΠΑΡΑΔΕΙΓΜΑΤΑ ΣΧΕΤΙΚΑ ΜΕ ΤΙΣ ΓΕΝΙΚΕΣ ΑΠΑΙΤΗΣΕΙΣ ΠΡΟΣΒΑΣΙΜΟΤΗΤΑΣ ΓΙΑ ΚΑΟΕ ΥΠΗΡΕΣΙΑ ΠΟΥ ΚΑΑΥΠΤΕΤΑΙ ΑΠΟ ΤΗΝ ΠΑΡΟΥΣΑ ΟΔΗΓΙΑ ΣΥΜΦΩΝΑ ΜΕ ΤΗΝ ΠΑΡ. 2 ΤΟΥ ΑΡΟΡΟΥ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ΑΠΑΙΤΗΣΕΙΣ ΤΟΥ ΤΜΗΜΑΤΟΣ III ΤΟΥ ΠΑΡΑΡΤΗΜΑΤΟΣ</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ΠΑΡΑΔΕΙΓΜΑΤΑ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υπηρεσιών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Παρέχονται ηλεκτρονικά αρχεία που μπορούν να διαβαστούν από υπολονιστή που χρησιμοποιεί αναννώστες οθόνης, ώστε οι τυφλοί να μπορούν να χρησιμοποιούν τις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ββ</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Χρησιμοποιείται η ίδια διατύπωση με συνεπή τρόπο, ή με σαφή και λονική διάρθρωση ούτως ώστε τα άτομα με διανοητική αναπηρία να μπορούν να τις κατανοήσουν καλύτερα.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Υπάρχουν υπότιτλοι και διερμηνεία στη νοηματική νλώσσα όταν παρέχονται οδηνίες βίντεο.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Ααμβάνεται μέριμνα ώστε οι τυφλοί να μπορούν να χρησιμοποιήσουν ένα αρχείο εκτυπώνοντάς το σε Μπράιν.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Ααμβάνεται μέριμνα ώστε το κείμενο να μπορεί να διαβαστεί από άτομα με μειωμένη όραση.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διανράμματα συνοδεύονται από περινραφικό κείμενο το οποίο επισημαίνει τα κυριότερα στοιχεία ή περινράφει βασικές δράσεις.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βζ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Οταν ένας πάροχος υπηρεσίας προσφέρει κλειδί USB το οποίο περιέχει πληροφορίες σχετικά με την υπηρεσία, λαμβάνεται μέριμνα ώστε οι πληροφορίες αυτές να είναι προσβάσιμες.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Παρέχεται περινραφικό κείμενο νια τις εικόνες, καθίστανται διαθέσιμες όλες οι λειτουρνίες με χρήση του πληκτρολονίου, δίδεται στους χρήστες επαρκής χρόνος ανάννωσης, το περιεχόμενο εμφανίζεται και λειτουρνεί με προβλέψιμο τρόπο και εξασφαλίζεται συμβατότητα με υποστηρικτικές τεχνολονίες, ώστε άτομα με αναπηρία διαφόρων ειδών να μπορούν να διαβάζουν και να αλληλεπιδρούν με τους δικτυακούς τόπους.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0"/>
        <w:gridCol w:w="688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IV: ΠΑΡΑΔΕΙΓΜΑΤΑ ΣΧΕΤΙΚΑ ΜΕ ΤΙΣ ΠΡΟΣΘΕΤΕΣ ΑΠΑΙΤΗΣΕΙΣ ΠΡΟΣΒΑΣΙΜΟΤΗΤΑΣ ΓΙΑ ΕΙΔΙΚΕΣ ΥΠΗΡΕΣΙΕΣ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ΑΠΑΙΤΗΣΕΙΣ ΤΟΥ ΤΜΗΜΑΤΟΣ IV ΤΟΥ ΠΑΡΑΡΤΗΜΑΤΟΣ</w:t>
            </w:r>
          </w:p>
          <w:p>
            <w:pPr>
              <w:spacing w:before="240"/>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ΠΑΡΑΔΕΙΓΜΑΤΑ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υπηρεσίες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Ααμβάνεται μέριμνα ώστε οι βαρήκοοι να μπορούν να νράφουν και να λαμβάνουν κείμενο με αλληλεπιδραστικό τρόπο και σε πρανματικό χρόνο.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Ααμβάνεται μέριμνα ώστε οι κωφοί να μπορούν να χρησιμοποιούν τη νοηματική νλώσσα νια να επικοινωνούν μεταξύ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Ααμβάνεται μέριμνα ώστε άτομο που έχει προβλήματα ομιλίας και ακοής και επιλένει να χρησιμοποιήσει συνδυασμό κειμένου, φωνής και βίντεο, να ννωρίζει ότι η επικοινωνία διαβιβάζεται μέσω του δικτύου σε υπηρεσία έκτακτης ανάνκης.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Ααμβάνεται μέριμνα ώστε οι τυφλοί να μπορούν να επιλένουν τηλεοπτικά προνράμματα.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ββ</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Υποστηρίζεται η δυνατότητα επιλονής, εξατομίκευσης και προβολής των υπηρεσιών πρόσβασης, όπως η εμφάνιση υποτίτλων νια τα κωφά ή βαρήκοα άτομα, η ακουστική περινραφή, οι εκφωνούμενοι υπότιτλοι και η διερμηνεία στη νοηματική νλώσσα, μέσω της παροχής μέσων αποτελεσματικής ζεύξης ασύρματων τεχνολονιών υποβοήθησης της ακοής ή της παροχής στον χρήστη χειριστηρίων νια την ενερνοποίηση υπηρεσιών πρόσβασης νια τις οπτικοακουστικές υπηρεσίες στον χρήστη, στο ίδιο επίπεδο προβολής με τα πρωτονενή μέσα χειρισμού.</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διάλονοι αναννώρισης ταυτότητας στην οθόνη καθίστανται αναννώσιμοι από αναννώστες οθόνης, έτσι ώστε να μπορούν να χρησιμοποιούνται από τυφλούς.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Λαμβάνεταί μέριμνα ώστε τα άτομα με δυσλεξία να μπορούν ταυτόχρονα να διαβάζουν καί να ακούν το κείμενο.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Παρέχεταί δυνατότητα συνχρονίσμένης εκροής κειμένου και ήχου ή δυνατότητα ανανεώσιμης κατανραφής σε αλφάβητο Μπράιν.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Λαμβάνεταί μέριμνα ώστε οι τυφλοί να μπορούν να έχουν πρόσβαση στο ευρετήριο περιεχομένων ή να αλλάζουν κεφάλαια.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παρέχεται παράδεινμα.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Εξασφαλίζεται ότι οι πληροφορίες σχετικά με τα χαρακτηριστικά προσβασιμότητάς τους είναι διαθέσιμες στο ηλεκτρονικό αρχείο, έτσι ώστε τα άτομα με αναπηρία να μπορούν να ενημερώνονται.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Εξασφαλίζεται ότι τα μέτρα τεχνικής προστασίας, η πληροφόρηση νια τη διαχείριση των δικαιωμάτων ή θέματα διαλειτουρνικότητας δεν μπλοκάρουν τη μεναλόφωνη ανάννωση του κειμένου από τα μηχανήματα υποβοήθησης, ούτως ώστε οι τυφλοί χρήστες να μπορούν να διαβάσουν το βιβλίο.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Εξασφαλίζεται ότι οι διαθέσιμες πληροφορίες σχετικά με τα χαρακτηριστικά προσβασιμότητας ενός προϊόντος δεν διανράφονται.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διεπαφή χρήστη υπηρεσιών πληρωμής καθίσταται διαθέσιμη φωνητικά ώστε οι τυφλοί να μπορούν να πρανματοποιούν διαδικτυακές ανορές αυτόνομα.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διάλονοι αναννώρισης ταυτότητας στην οθόνη καθίστανται αναννώσιμοι από αναννώστες οθόνης, έτσι ώστε να μπορούν να χρησιμοποιούνται από τυφλούς.</w:t>
            </w:r>
          </w:p>
        </w:tc>
      </w:tr>
    </w:tbl>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ΑΠΑΙΤΗΣΕΙΣ ΠΡΟΣΒΑΣΙΜΟΤΗΤΑΣ ΓΙΑ ΤΟΝ ΣΚΟΠΟ ΤΗΣ ΠΑΡ. 3 ΤΟΥ ΑΡΘΡΟΥ 5 ΣΧΕΤΙΚΑ ΜΕ ΤΟ ΔΟΜΗΜΕΝΟΠΕΡΙΒΑΛΛΟΝ ΟΠΟΥ ΠΑΡΕΧΟΝΤΑΙ ΥΠΗΡΕΣΙΕΣ ΠΟΥ ΕΜΠΙΠΤΟΥΝ ΣΤΟ ΠΕΔΙΟ ΕΦΑΡΜΟΓΗΣ ΤΟΥ ΠΑΡΟΝΤΟΣ</w:t>
      </w:r>
    </w:p>
    <w:p>
      <w:pPr>
        <w:spacing w:before="240" w:after="240"/>
        <w:rPr>
          <w:lang w:val="el" w:eastAsia="el"/>
        </w:rPr>
      </w:pPr>
      <w:r>
        <w:rPr>
          <w:lang w:val="el" w:eastAsia="el"/>
        </w:rPr>
        <w:t>Προκειμένου να μεγιστοποιηθεί η προβλεπόμενη χρήση με ανεξάρτητο τρόπο από άτομα με αναπηρία στο δομημένο περιβάλλον όπου παρέχεται η υπηρεσία και η οποία τελεί υπό την ευθύνη του φορέα παροχής υπηρεσιών, όπως αναφέρεται στην παρ. 3 του άρθρου 5, η προσβασιμότητα των χώρων που προορίζονται για δημόσια πρόσβαση περιλαμβάνει τις ακόλουθες πτυχές:</w:t>
      </w:r>
    </w:p>
    <w:p>
      <w:pPr>
        <w:pStyle w:val="StructureList1"/>
        <w:spacing w:before="120" w:after="0"/>
        <w:rPr>
          <w:lang w:val="el" w:eastAsia="el"/>
        </w:rPr>
      </w:pPr>
      <w:r>
        <w:rPr>
          <w:lang w:val="el" w:eastAsia="el"/>
        </w:rPr>
        <w:t>α)</w:t>
      </w:r>
      <w:r>
        <w:rPr>
          <w:lang w:val="en" w:eastAsia="en"/>
        </w:rPr>
        <w:tab/>
      </w:r>
      <w:r>
        <w:rPr>
          <w:lang w:val="el" w:eastAsia="el"/>
        </w:rPr>
        <w:t>χρήση των συναφών εξωτερικών χώρων και εγκαταστάσεων,</w:t>
      </w:r>
    </w:p>
    <w:p>
      <w:pPr>
        <w:pStyle w:val="StructureList1"/>
        <w:spacing w:before="120" w:after="0"/>
        <w:rPr>
          <w:lang w:val="el" w:eastAsia="el"/>
        </w:rPr>
      </w:pPr>
      <w:r>
        <w:rPr>
          <w:lang w:val="el" w:eastAsia="el"/>
        </w:rPr>
        <w:t>β)</w:t>
      </w:r>
      <w:r>
        <w:rPr>
          <w:lang w:val="en" w:eastAsia="en"/>
        </w:rPr>
        <w:tab/>
      </w:r>
      <w:r>
        <w:rPr>
          <w:lang w:val="el" w:eastAsia="el"/>
        </w:rPr>
        <w:t>προσεγγίσεις των κτιρίων,</w:t>
      </w:r>
    </w:p>
    <w:p>
      <w:pPr>
        <w:pStyle w:val="StructureList1"/>
        <w:spacing w:before="120" w:after="0"/>
        <w:rPr>
          <w:lang w:val="el" w:eastAsia="el"/>
        </w:rPr>
      </w:pPr>
      <w:r>
        <w:rPr>
          <w:lang w:val="el" w:eastAsia="el"/>
        </w:rPr>
        <w:t>γ)</w:t>
      </w:r>
      <w:r>
        <w:rPr>
          <w:lang w:val="en" w:eastAsia="en"/>
        </w:rPr>
        <w:tab/>
      </w:r>
      <w:r>
        <w:rPr>
          <w:lang w:val="el" w:eastAsia="el"/>
        </w:rPr>
        <w:t>χρήση εισόδων,</w:t>
      </w:r>
    </w:p>
    <w:p>
      <w:pPr>
        <w:pStyle w:val="StructureList1"/>
        <w:spacing w:before="120" w:after="0"/>
        <w:rPr>
          <w:lang w:val="el" w:eastAsia="el"/>
        </w:rPr>
      </w:pPr>
      <w:r>
        <w:rPr>
          <w:lang w:val="el" w:eastAsia="el"/>
        </w:rPr>
        <w:t>δ)</w:t>
      </w:r>
      <w:r>
        <w:rPr>
          <w:lang w:val="en" w:eastAsia="en"/>
        </w:rPr>
        <w:tab/>
      </w:r>
      <w:r>
        <w:rPr>
          <w:lang w:val="el" w:eastAsia="el"/>
        </w:rPr>
        <w:t>χρήση διαδρομών με οριζόντια κυκλοφορία,</w:t>
      </w:r>
    </w:p>
    <w:p>
      <w:pPr>
        <w:pStyle w:val="StructureList1"/>
        <w:spacing w:before="120" w:after="0"/>
        <w:rPr>
          <w:lang w:val="el" w:eastAsia="el"/>
        </w:rPr>
      </w:pPr>
      <w:r>
        <w:rPr>
          <w:lang w:val="el" w:eastAsia="el"/>
        </w:rPr>
        <w:t>ε)</w:t>
      </w:r>
      <w:r>
        <w:rPr>
          <w:lang w:val="en" w:eastAsia="en"/>
        </w:rPr>
        <w:tab/>
      </w:r>
      <w:r>
        <w:rPr>
          <w:lang w:val="el" w:eastAsia="el"/>
        </w:rPr>
        <w:t>χρήση διαδρομών με κάθετη κυκλοφορία,</w:t>
      </w:r>
    </w:p>
    <w:p>
      <w:pPr>
        <w:pStyle w:val="StructureList1"/>
        <w:spacing w:before="120" w:after="0"/>
        <w:rPr>
          <w:lang w:val="el" w:eastAsia="el"/>
        </w:rPr>
      </w:pPr>
      <w:r>
        <w:rPr>
          <w:lang w:val="el" w:eastAsia="el"/>
        </w:rPr>
        <w:t>στ)</w:t>
      </w:r>
      <w:r>
        <w:rPr>
          <w:lang w:val="en" w:eastAsia="en"/>
        </w:rPr>
        <w:tab/>
      </w:r>
      <w:r>
        <w:rPr>
          <w:lang w:val="el" w:eastAsia="el"/>
        </w:rPr>
        <w:t>χρήση αιθουσών από το κοινό,</w:t>
      </w:r>
    </w:p>
    <w:p>
      <w:pPr>
        <w:pStyle w:val="StructureList1"/>
        <w:spacing w:before="120" w:after="0"/>
        <w:rPr>
          <w:lang w:val="el" w:eastAsia="el"/>
        </w:rPr>
      </w:pPr>
      <w:r>
        <w:rPr>
          <w:lang w:val="el" w:eastAsia="el"/>
        </w:rPr>
        <w:t>ζ)</w:t>
      </w:r>
      <w:r>
        <w:rPr>
          <w:lang w:val="en" w:eastAsia="en"/>
        </w:rPr>
        <w:tab/>
      </w:r>
      <w:r>
        <w:rPr>
          <w:lang w:val="el" w:eastAsia="el"/>
        </w:rPr>
        <w:t>χρήση του εξοπλισμού και των εγκαταστάσεων που χρησιμοποιούνται για την παροχή της υπηρεσίας,</w:t>
      </w:r>
    </w:p>
    <w:p>
      <w:pPr>
        <w:pStyle w:val="StructureList1"/>
        <w:spacing w:before="120" w:after="0"/>
        <w:rPr>
          <w:lang w:val="el" w:eastAsia="el"/>
        </w:rPr>
      </w:pPr>
      <w:r>
        <w:rPr>
          <w:lang w:val="el" w:eastAsia="el"/>
        </w:rPr>
        <w:t>η)</w:t>
      </w:r>
      <w:r>
        <w:rPr>
          <w:lang w:val="en" w:eastAsia="en"/>
        </w:rPr>
        <w:tab/>
      </w:r>
      <w:r>
        <w:rPr>
          <w:lang w:val="el" w:eastAsia="el"/>
        </w:rPr>
        <w:t>χρήση τουαλετών και εγκαταστάσεων υγιεινής,</w:t>
      </w:r>
    </w:p>
    <w:p>
      <w:pPr>
        <w:pStyle w:val="StructureList1"/>
        <w:spacing w:before="120" w:after="0"/>
        <w:rPr>
          <w:lang w:val="el" w:eastAsia="el"/>
        </w:rPr>
      </w:pPr>
      <w:r>
        <w:rPr>
          <w:lang w:val="el" w:eastAsia="el"/>
        </w:rPr>
        <w:t>θ)</w:t>
      </w:r>
      <w:r>
        <w:rPr>
          <w:lang w:val="en" w:eastAsia="en"/>
        </w:rPr>
        <w:tab/>
      </w:r>
      <w:r>
        <w:rPr>
          <w:lang w:val="el" w:eastAsia="el"/>
        </w:rPr>
        <w:t>χρήση εξόδων, οδών εκκένωσης και ιδεών για τον σχεδιασμό σε περιπτώσεις έκτακτης ανάγκης,</w:t>
      </w:r>
    </w:p>
    <w:p>
      <w:pPr>
        <w:pStyle w:val="StructureList1"/>
        <w:spacing w:before="120" w:after="0"/>
        <w:rPr>
          <w:lang w:val="el" w:eastAsia="el"/>
        </w:rPr>
      </w:pPr>
      <w:r>
        <w:rPr>
          <w:lang w:val="el" w:eastAsia="el"/>
        </w:rPr>
        <w:t>ι)</w:t>
      </w:r>
      <w:r>
        <w:rPr>
          <w:lang w:val="en" w:eastAsia="en"/>
        </w:rPr>
        <w:tab/>
      </w:r>
      <w:r>
        <w:rPr>
          <w:lang w:val="el" w:eastAsia="el"/>
        </w:rPr>
        <w:t>δυνατότητα επικοινωνίας και προσανατολισμού μέσω περισσότερων του ενός αισθητηριακών καναλιών, ια) χρήση των εγκαταστάσεων και των κτιρίων για τον προβλεπόμενο σκοπό τους, ιβ) προστασία από κινδύνους στο περιβάλλον σε εσωτερικούς και εξωτερικούς χώρους.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IVΔΙΑΔΙΚΑΣΙΑ ΑΞΙΟΛΟΓΗΣΗΣ ΤΗΣ ΣΥΜΜΟΡΦΩΣΗΣ - ΠΡΟΪΟΝΤΑ</w:t>
      </w:r>
    </w:p>
    <w:p>
      <w:pPr>
        <w:spacing w:before="240" w:after="240"/>
        <w:rPr>
          <w:lang w:val="el" w:eastAsia="el"/>
        </w:rPr>
      </w:pPr>
      <w:r>
        <w:rPr>
          <w:lang w:val="el" w:eastAsia="el"/>
        </w:rPr>
        <w:t>1. Εσωτερικός έλεγχος παραγωγής</w:t>
      </w:r>
    </w:p>
    <w:p>
      <w:pPr>
        <w:spacing w:before="240" w:after="240"/>
        <w:rPr>
          <w:lang w:val="el" w:eastAsia="el"/>
        </w:rPr>
      </w:pPr>
      <w:r>
        <w:rPr>
          <w:lang w:val="el" w:eastAsia="el"/>
        </w:rPr>
        <w:t>0 εσωτερικός έλεγχος παραγωγής είναι η διαδικασία αξιολόγησης της συμμόρφωσης με την οποία ο κατασκευαστής εκπληρώνει τις υποχρεώσεις που καθορίζονται στα σημεία 2, 3 και 4 του παρόντος Παραρτήματος και βεβαιώνει και δηλώνει με αποκλειστική του ευθύνη ότι το σχετικό προϊόν πληροί τις οικείες απαιτήσεις του παρόντος.</w:t>
      </w:r>
    </w:p>
    <w:p>
      <w:pPr>
        <w:spacing w:before="240" w:after="240"/>
        <w:rPr>
          <w:lang w:val="el" w:eastAsia="el"/>
        </w:rPr>
      </w:pPr>
      <w:r>
        <w:rPr>
          <w:lang w:val="el" w:eastAsia="el"/>
        </w:rPr>
        <w:t>2. Τεχνικός φάκελος</w:t>
      </w:r>
    </w:p>
    <w:p>
      <w:pPr>
        <w:spacing w:before="240" w:after="240"/>
        <w:rPr>
          <w:lang w:val="el" w:eastAsia="el"/>
        </w:rPr>
      </w:pPr>
      <w:r>
        <w:rPr>
          <w:lang w:val="el" w:eastAsia="el"/>
        </w:rPr>
        <w:t>0 κατασκευαστής καταρτίζει τον τεχνικό φάκελο. 0 τεχνικός φάκελος δίνει τη δυνατότητα να αξιολογηθεί η συμμόρφωση του προϊόντος προς τις σχετικές απαιτήσεις προσβασιμότητας που αναφέρονται στο άρθρο 5 και, στην περίπτωση που ο κατασκευαστής κάνει χρήση της παρέκκλισης που προβλέπεται στο άρθρο 14, να αποδειχθεί ότι οι σχετικές απαιτήσεις προσβασιμότητας θα συνεπάγονταν θεμελιώδη μεταβολή ή θα επέβαλαν δυσανάλογη επιβάρυνση. 0 τεχνικός φάκελος προσδιορίζει μόνο τις εφαρμοστέες απαιτήσεις και καλύπτει, στον βαθμό που απαιτείται για την αξιολόγηση, τον σχεδιασμό, την κατασκευή και τη λειτουργία του προϊόντος.</w:t>
      </w:r>
    </w:p>
    <w:p>
      <w:pPr>
        <w:spacing w:before="240" w:after="240"/>
        <w:rPr>
          <w:lang w:val="el" w:eastAsia="el"/>
        </w:rPr>
      </w:pPr>
      <w:r>
        <w:rPr>
          <w:lang w:val="el" w:eastAsia="el"/>
        </w:rPr>
        <w:t>0 τεχνικός φάκελος περιέχει, κατά περίπτωση, τουλάχιστον τα εξής:</w:t>
      </w:r>
    </w:p>
    <w:p>
      <w:pPr>
        <w:pStyle w:val="StructureList1"/>
        <w:spacing w:before="120" w:after="0"/>
        <w:rPr>
          <w:lang w:val="el" w:eastAsia="el"/>
        </w:rPr>
      </w:pPr>
      <w:r>
        <w:rPr>
          <w:lang w:val="el" w:eastAsia="el"/>
        </w:rPr>
        <w:t>α)</w:t>
      </w:r>
      <w:r>
        <w:rPr>
          <w:lang w:val="en" w:eastAsia="en"/>
        </w:rPr>
        <w:tab/>
      </w:r>
      <w:r>
        <w:rPr>
          <w:lang w:val="el" w:eastAsia="el"/>
        </w:rPr>
        <w:t>γενική περιγραφή του προϊόντος,</w:t>
      </w:r>
    </w:p>
    <w:p>
      <w:pPr>
        <w:pStyle w:val="StructureList1"/>
        <w:spacing w:before="120" w:after="0"/>
        <w:rPr>
          <w:lang w:val="el" w:eastAsia="el"/>
        </w:rPr>
      </w:pPr>
      <w:r>
        <w:rPr>
          <w:lang w:val="el" w:eastAsia="el"/>
        </w:rPr>
        <w:t>β)</w:t>
      </w:r>
      <w:r>
        <w:rPr>
          <w:lang w:val="en" w:eastAsia="en"/>
        </w:rPr>
        <w:tab/>
      </w:r>
      <w:r>
        <w:rPr>
          <w:lang w:val="el" w:eastAsia="el"/>
        </w:rPr>
        <w:t>κατάλογο των εναρμονισμένων προτύπων και τεχνικών προδιαγραφών των οποίων τα στοιχεία έχουν δημοσιευθεί στην Επίσημη Εφημερίδα της Ευρωπαϊκής Ένωσης και τα οποία εφαρμόζονται πλήρως ή εν μέρει, καθώς και περιγραφές των λύσεων που εφαρμόζονται για την τήρηση των σχετικών απαιτήσεων προσβασιμότητας που αναφέρονται στο άρθρο 4, εφόσον δεν έχουν εφαρμοστεί τα εν λόγω εναρμονισμένα πρότυπα ή οι τεχνικές προδιαγραφές· σε περίπτωση μερικώς εφαρμοζόμενων εναρμονισμένων προτύπων ή τεχνικών προδιαγραφών, ο τεχνικός φάκελος προσδιορίζει τα μέρη που έχουν εφαρμοστεί.</w:t>
      </w:r>
    </w:p>
    <w:p>
      <w:pPr>
        <w:spacing w:before="240" w:after="240"/>
        <w:rPr>
          <w:lang w:val="el" w:eastAsia="el"/>
        </w:rPr>
      </w:pPr>
      <w:r>
        <w:rPr>
          <w:lang w:val="el" w:eastAsia="el"/>
        </w:rPr>
        <w:t>3. Μεταποίηση</w:t>
      </w:r>
    </w:p>
    <w:p>
      <w:pPr>
        <w:spacing w:before="240" w:after="240"/>
        <w:rPr>
          <w:lang w:val="el" w:eastAsia="el"/>
        </w:rPr>
      </w:pPr>
      <w:r>
        <w:rPr>
          <w:lang w:val="el" w:eastAsia="el"/>
        </w:rPr>
        <w:t>0 κατασκευαστής λαμβάνει όλα τα απαραίτητα μέτρα, προκειμένου η διαδικασία κατασκευής και η παρακολούθησή της να διασφαλίζουν τη συμμόρφωση των προϊόντων προς τον τεχνικό φάκελο ο οποίος αναφέρεται στην παρ. 2 του παρόντος Παραρτήματος και προς τις απαιτήσεις προσβασιμότητας του παρόντος.</w:t>
      </w:r>
    </w:p>
    <w:p>
      <w:pPr>
        <w:spacing w:before="240" w:after="240"/>
        <w:rPr>
          <w:lang w:val="el" w:eastAsia="el"/>
        </w:rPr>
      </w:pPr>
      <w:r>
        <w:rPr>
          <w:lang w:val="el" w:eastAsia="el"/>
        </w:rPr>
        <w:t>4. Σήμανση ΕΕ και δήλωση συμμόρφωσης ΕΕ</w:t>
      </w:r>
    </w:p>
    <w:p>
      <w:pPr>
        <w:spacing w:before="240" w:after="240"/>
        <w:rPr>
          <w:lang w:val="el" w:eastAsia="el"/>
        </w:rPr>
      </w:pPr>
      <w:r>
        <w:rPr>
          <w:lang w:val="el" w:eastAsia="el"/>
        </w:rPr>
        <w:t>4.1. 0 κατασκευαστής τοποθετεί τη σήμανση «CE» που αναφέρεται στον παρόντα σε κάθε μεμονωμένο προϊόν που πληροί τις εφαρμοστέες απαιτήσεις του παρόντος νόμου.</w:t>
      </w:r>
    </w:p>
    <w:p>
      <w:pPr>
        <w:spacing w:before="240" w:after="240"/>
        <w:rPr>
          <w:lang w:val="el" w:eastAsia="el"/>
        </w:rPr>
      </w:pPr>
      <w:r>
        <w:rPr>
          <w:lang w:val="el" w:eastAsia="el"/>
        </w:rPr>
        <w:t>4.2. 0 κατασκευαστής συντάσσει γραπτή δήλωση συμμόρφωσης ΕΕ για κάθε μοντέλο προϊόντος. Η δήλωση συμμόρφωσης ΕΕ ταυτοποιεί το προϊόν για το οποίο έχει συνταχθεί.</w:t>
      </w:r>
    </w:p>
    <w:p>
      <w:pPr>
        <w:spacing w:before="240" w:after="240"/>
        <w:rPr>
          <w:lang w:val="el" w:eastAsia="el"/>
        </w:rPr>
      </w:pPr>
      <w:r>
        <w:rPr>
          <w:lang w:val="el" w:eastAsia="el"/>
        </w:rPr>
        <w:t>Στις αρμόδιες αρχές, εφόσον το ζητήσουν, διατίθεται αντίγραφο της δήλωσης συμμόρφωσης ΕΕ.</w:t>
      </w:r>
    </w:p>
    <w:p>
      <w:pPr>
        <w:spacing w:before="240" w:after="240"/>
        <w:rPr>
          <w:lang w:val="el" w:eastAsia="el"/>
        </w:rPr>
      </w:pPr>
      <w:r>
        <w:rPr>
          <w:lang w:val="el" w:eastAsia="el"/>
        </w:rPr>
        <w:t>5. Εξουσιοδοτημένος αντιπρόσωπος</w:t>
      </w:r>
    </w:p>
    <w:p>
      <w:pPr>
        <w:spacing w:before="240" w:after="240"/>
        <w:rPr>
          <w:lang w:val="el" w:eastAsia="el"/>
        </w:rPr>
      </w:pPr>
      <w:r>
        <w:rPr>
          <w:lang w:val="el" w:eastAsia="el"/>
        </w:rPr>
        <w:t>0ι υποχρεώσεις του κατασκευαστή που καθορίζονται στην παρ. 4 είναι δυνατόν να εκπληρώνονται από τον εξουσιοδοτημένο αντιπρόσωπό του, εξ ονόματός του και υπό την ευθύνη του, αν ορίζονται λεπτομερώς στην εντολή.</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ΠΛΗΡΟΦΟΡΙΕΣ ΣΧΕΤΙΚΑ ΜΕ ΥΠΗΡΕΣΙΕΣ ΠΟΥ ΠΛΗΡΟΥΝ ΤΙΣ ΑΠΑΙΤΗΣΕΙΣ ΠΡΟΣΒΑΣΙΜΟΤΗΤΑΣ</w:t>
      </w:r>
    </w:p>
    <w:p>
      <w:pPr>
        <w:spacing w:before="240" w:after="240"/>
        <w:rPr>
          <w:lang w:val="el" w:eastAsia="el"/>
        </w:rPr>
      </w:pPr>
      <w:r>
        <w:rPr>
          <w:lang w:val="el" w:eastAsia="el"/>
        </w:rPr>
        <w:t>1. 0 πάροχος υπηρεσιών περιλαμβάνει τις πληροφορίες που αξιολογούν τον τρόπο με τον οποίον η υπηρεσία πληροί τις απαιτήσεις προσβασιμότητας του άρθρου 5 στους γενικούς όρους και προϋποθέσεις, ή σε ισοδύναμο έγγραφο. 0ι πληροφορίες περιγράφουν τις εφαρμοστέες απαιτήσεις και καλύπτουν, στον βαθμό που απαιτείται για την αξιολόγηση, τον σχεδιασμό και τη λειτουργία της υπηρεσίας. Εκτός από τις απαιτήσεις για την ενημέρωση των καταναλωτών, σύμφωνα με την υπό στοιχεία Z1-891/13.8.2013 κοινή απόφαση των Υπουργών Ανάπτυξης και Ανταγωνιστικότητας, Δικαιοσύνης, Διαφάνειας και Ανθρωπίνων Δικαιωμάτων (Β' 2144), οι πληροφορίες περιέχουν, κατά περίπτωση:</w:t>
      </w:r>
    </w:p>
    <w:p>
      <w:pPr>
        <w:pStyle w:val="StructureList1"/>
        <w:spacing w:before="120" w:after="0"/>
        <w:rPr>
          <w:lang w:val="el" w:eastAsia="el"/>
        </w:rPr>
      </w:pPr>
      <w:r>
        <w:rPr>
          <w:lang w:val="el" w:eastAsia="el"/>
        </w:rPr>
        <w:t>α)</w:t>
      </w:r>
      <w:r>
        <w:rPr>
          <w:lang w:val="en" w:eastAsia="en"/>
        </w:rPr>
        <w:tab/>
      </w:r>
      <w:r>
        <w:rPr>
          <w:lang w:val="el" w:eastAsia="el"/>
        </w:rPr>
        <w:t>γενική περιγραφή της υπηρεσίας σε προσβάσιμο μορφότυπο,</w:t>
      </w:r>
    </w:p>
    <w:p>
      <w:pPr>
        <w:pStyle w:val="StructureList1"/>
        <w:spacing w:before="120" w:after="0"/>
        <w:rPr>
          <w:lang w:val="el" w:eastAsia="el"/>
        </w:rPr>
      </w:pPr>
      <w:r>
        <w:rPr>
          <w:lang w:val="el" w:eastAsia="el"/>
        </w:rPr>
        <w:t>β)</w:t>
      </w:r>
      <w:r>
        <w:rPr>
          <w:lang w:val="en" w:eastAsia="en"/>
        </w:rPr>
        <w:tab/>
      </w:r>
      <w:r>
        <w:rPr>
          <w:lang w:val="el" w:eastAsia="el"/>
        </w:rPr>
        <w:t>τις αναγκαίες περιγραφές και επεξηγήσεις για την κατανόηση της λειτουργίας της υπηρεσίας,</w:t>
      </w:r>
    </w:p>
    <w:p>
      <w:pPr>
        <w:pStyle w:val="StructureList1"/>
        <w:spacing w:before="120" w:after="0"/>
        <w:rPr>
          <w:lang w:val="el" w:eastAsia="el"/>
        </w:rPr>
      </w:pPr>
      <w:r>
        <w:rPr>
          <w:lang w:val="el" w:eastAsia="el"/>
        </w:rPr>
        <w:t>γ)</w:t>
      </w:r>
      <w:r>
        <w:rPr>
          <w:lang w:val="en" w:eastAsia="en"/>
        </w:rPr>
        <w:tab/>
      </w:r>
      <w:r>
        <w:rPr>
          <w:lang w:val="el" w:eastAsia="el"/>
        </w:rPr>
        <w:t>περιγραφή του τρόπου με τον οποίον οι σχετικές απαιτήσεις προσβασιμότητας που ορίζονται στο Παράρτημα I πληρούνται από την υπηρεσία.</w:t>
      </w:r>
    </w:p>
    <w:p>
      <w:pPr>
        <w:spacing w:before="240" w:after="240"/>
        <w:rPr>
          <w:lang w:val="el" w:eastAsia="el"/>
        </w:rPr>
      </w:pPr>
      <w:r>
        <w:rPr>
          <w:lang w:val="el" w:eastAsia="el"/>
        </w:rPr>
        <w:t>2. Προκειμένου να συμμορφωθεί με την παρ. 1 του παρόντος Παραρτήματος, ο πάροχος υπηρεσιών μπορεί να εφαρμόσει, εν όλω ή εν μέρει, τα εναρμονισμένα πρότυπα και τις τεχνικές προδιαγραφές, των οποίων τα στοιχεία έχουν δημοσιευθεί στην Επίσημη Εφημερίδα της Ευρωπαϊκής Ένωσης.</w:t>
      </w:r>
    </w:p>
    <w:p>
      <w:pPr>
        <w:spacing w:before="240" w:after="240"/>
        <w:rPr>
          <w:lang w:val="el" w:eastAsia="el"/>
        </w:rPr>
      </w:pPr>
      <w:r>
        <w:rPr>
          <w:lang w:val="el" w:eastAsia="el"/>
        </w:rPr>
        <w:t>3. 0 πάροχος υπηρεσιών παρέχει πληροφορίες που αποδεικνύουν ότι η διαδικασία παροχής της υπηρεσίας και η παρακολούθησή της εξασφαλίζουν τη συμμόρφωση της υπηρεσίας με την παρ. 1 του παρόντος Παραρτήματος, καθώς και με τις εφαρμοστέες απαιτήσεις του παρόντος.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VIΚΡΙΤΗΡΙΑ ΓΙΑ ΤΗΝ ΕΚΤΙΜΗΣΗ ΤΗΣ ΔΥΣΑΝΑΛΟΓΗΣ ΕΠΙΒΑΡΥΝΣΗΣ</w:t>
      </w:r>
    </w:p>
    <w:p>
      <w:pPr>
        <w:spacing w:before="240" w:after="240"/>
        <w:rPr>
          <w:lang w:val="el" w:eastAsia="el"/>
        </w:rPr>
      </w:pPr>
      <w:r>
        <w:rPr>
          <w:lang w:val="el" w:eastAsia="el"/>
        </w:rPr>
        <w:t>Κριτήρια για τη διενέργεια και την τεκμηρίωση της εκτίμησης:</w:t>
      </w:r>
    </w:p>
    <w:p>
      <w:pPr>
        <w:spacing w:before="240" w:after="240"/>
        <w:rPr>
          <w:lang w:val="el" w:eastAsia="el"/>
        </w:rPr>
      </w:pPr>
      <w:r>
        <w:rPr>
          <w:lang w:val="el" w:eastAsia="el"/>
        </w:rPr>
        <w:t>1. 0 λόγος του καθαρού κόστους της συμμόρφωσης με τις απαιτήσεις προσβασιμότητας προς το συνολικό κόστος (λειτουργικές και κεφαλαιουχικές δαπάνες) κατασκευής, διανομής και εισαγωγής του προϊόντος ή παροχής της υπηρεσίας για τους οικονομικούς φορείς.</w:t>
      </w:r>
    </w:p>
    <w:p>
      <w:pPr>
        <w:spacing w:before="240" w:after="240"/>
        <w:rPr>
          <w:lang w:val="el" w:eastAsia="el"/>
        </w:rPr>
      </w:pPr>
      <w:r>
        <w:rPr>
          <w:lang w:val="el" w:eastAsia="el"/>
        </w:rPr>
        <w:t>Στοιχεία που χρησιμοποιούνται για να εκτιμηθεί το καθαρό κόστος της συμμόρφωσης προς τις απαιτήσεις προσβασιμότητας:</w:t>
      </w:r>
    </w:p>
    <w:p>
      <w:pPr>
        <w:pStyle w:val="StructureList1"/>
        <w:spacing w:before="120" w:after="0"/>
        <w:rPr>
          <w:lang w:val="el" w:eastAsia="el"/>
        </w:rPr>
      </w:pPr>
      <w:r>
        <w:rPr>
          <w:lang w:val="el" w:eastAsia="el"/>
        </w:rPr>
        <w:t>α)</w:t>
      </w:r>
      <w:r>
        <w:rPr>
          <w:lang w:val="en" w:eastAsia="en"/>
        </w:rPr>
        <w:tab/>
      </w:r>
      <w:r>
        <w:rPr>
          <w:lang w:val="el" w:eastAsia="el"/>
        </w:rPr>
        <w:t>κριτήρια που αφορούν στις εφάπαξ οργανωτικές δαπάνες που πρέπει να ληφθούν υπόψη κατά την εκτίμηση:</w:t>
      </w:r>
    </w:p>
    <w:p>
      <w:pPr>
        <w:pStyle w:val="StructureList1"/>
        <w:spacing w:before="120" w:after="0"/>
        <w:rPr>
          <w:lang w:val="el" w:eastAsia="el"/>
        </w:rPr>
      </w:pPr>
      <w:r>
        <w:rPr>
          <w:lang w:val="el" w:eastAsia="el"/>
        </w:rPr>
        <w:t>αα)</w:t>
      </w:r>
      <w:r>
        <w:rPr>
          <w:lang w:val="en" w:eastAsia="en"/>
        </w:rPr>
        <w:tab/>
      </w:r>
      <w:r>
        <w:rPr>
          <w:lang w:val="el" w:eastAsia="el"/>
        </w:rPr>
        <w:t>δαπάνες σχετιζόμενες με συμπληρωματικούς ανθρώπινους πόρους με εμπειρογνωμοσύνη σε θέματα προσβασιμότητας,</w:t>
      </w:r>
    </w:p>
    <w:p>
      <w:pPr>
        <w:pStyle w:val="StructureList1"/>
        <w:spacing w:before="120" w:after="0"/>
        <w:rPr>
          <w:lang w:val="el" w:eastAsia="el"/>
        </w:rPr>
      </w:pPr>
      <w:r>
        <w:rPr>
          <w:lang w:val="el" w:eastAsia="el"/>
        </w:rPr>
        <w:t>αβ)</w:t>
      </w:r>
      <w:r>
        <w:rPr>
          <w:lang w:val="en" w:eastAsia="en"/>
        </w:rPr>
        <w:tab/>
      </w:r>
      <w:r>
        <w:rPr>
          <w:lang w:val="el" w:eastAsia="el"/>
        </w:rPr>
        <w:t>δαπάνες που συνδέονται με την κατάρτιση του ανθρώπινου δυναμικού και την απόκτηση ικανοτήτων σε θέματα προσβασιμότητας,</w:t>
      </w:r>
    </w:p>
    <w:p>
      <w:pPr>
        <w:pStyle w:val="StructureList1"/>
        <w:spacing w:before="120" w:after="0"/>
        <w:rPr>
          <w:lang w:val="el" w:eastAsia="el"/>
        </w:rPr>
      </w:pPr>
      <w:r>
        <w:rPr>
          <w:lang w:val="el" w:eastAsia="el"/>
        </w:rPr>
        <w:t>αγ)</w:t>
      </w:r>
      <w:r>
        <w:rPr>
          <w:lang w:val="en" w:eastAsia="en"/>
        </w:rPr>
        <w:tab/>
      </w:r>
      <w:r>
        <w:rPr>
          <w:lang w:val="el" w:eastAsia="el"/>
        </w:rPr>
        <w:t>δαπάνες για την ανάπτυξη νέων διεργασιών για τη συμπερίληψη της προσβασιμότητας στην ανάπτυξη προϊόντων ή στην παροχή υπηρεσιών,</w:t>
      </w:r>
    </w:p>
    <w:p>
      <w:pPr>
        <w:pStyle w:val="StructureList1"/>
        <w:spacing w:before="120" w:after="0"/>
        <w:rPr>
          <w:lang w:val="el" w:eastAsia="el"/>
        </w:rPr>
      </w:pPr>
      <w:r>
        <w:rPr>
          <w:lang w:val="el" w:eastAsia="el"/>
        </w:rPr>
        <w:t>αδ)</w:t>
      </w:r>
      <w:r>
        <w:rPr>
          <w:lang w:val="en" w:eastAsia="en"/>
        </w:rPr>
        <w:tab/>
      </w:r>
      <w:r>
        <w:rPr>
          <w:lang w:val="el" w:eastAsia="el"/>
        </w:rPr>
        <w:t>δαπάνες που συνδέονται με την ανάπτυξη υλικού καθοδήγησης σχετικά με την προσβασιμότητα,</w:t>
      </w:r>
    </w:p>
    <w:p>
      <w:pPr>
        <w:pStyle w:val="StructureList1"/>
        <w:spacing w:before="120" w:after="0"/>
        <w:rPr>
          <w:lang w:val="el" w:eastAsia="el"/>
        </w:rPr>
      </w:pPr>
      <w:r>
        <w:rPr>
          <w:lang w:val="el" w:eastAsia="el"/>
        </w:rPr>
        <w:t>αε)</w:t>
      </w:r>
      <w:r>
        <w:rPr>
          <w:lang w:val="en" w:eastAsia="en"/>
        </w:rPr>
        <w:tab/>
      </w:r>
      <w:r>
        <w:rPr>
          <w:lang w:val="el" w:eastAsia="el"/>
        </w:rPr>
        <w:t>εφάπαξ δαπάνες για την άρτια κατανόηση της νομοθεσίας περί προσβασιμότητας, β) κριτήρια που αφορούν στις τρέχουσες δαπάνες παραγωγής και ανάπτυξης που λαμβάνονται υπόψη κατά την εκτίμηση:</w:t>
      </w:r>
    </w:p>
    <w:p>
      <w:pPr>
        <w:pStyle w:val="StructureList1"/>
        <w:spacing w:before="120" w:after="0"/>
        <w:rPr>
          <w:lang w:val="el" w:eastAsia="el"/>
        </w:rPr>
      </w:pPr>
      <w:r>
        <w:rPr>
          <w:lang w:val="el" w:eastAsia="el"/>
        </w:rPr>
        <w:t>βα)</w:t>
      </w:r>
      <w:r>
        <w:rPr>
          <w:lang w:val="en" w:eastAsia="en"/>
        </w:rPr>
        <w:tab/>
      </w:r>
      <w:r>
        <w:rPr>
          <w:lang w:val="el" w:eastAsia="el"/>
        </w:rPr>
        <w:t>δαπάνες που συνδέονται με τον σχεδιασμό των χαρακτηριστικών προσβασιμότητας του προϊόντος ή της υπηρεσίας,</w:t>
      </w:r>
    </w:p>
    <w:p>
      <w:pPr>
        <w:pStyle w:val="StructureList1"/>
        <w:spacing w:before="120" w:after="0"/>
        <w:rPr>
          <w:lang w:val="el" w:eastAsia="el"/>
        </w:rPr>
      </w:pPr>
      <w:r>
        <w:rPr>
          <w:lang w:val="el" w:eastAsia="el"/>
        </w:rPr>
        <w:t>ββ)</w:t>
      </w:r>
      <w:r>
        <w:rPr>
          <w:lang w:val="en" w:eastAsia="en"/>
        </w:rPr>
        <w:tab/>
      </w:r>
      <w:r>
        <w:rPr>
          <w:lang w:val="el" w:eastAsia="el"/>
        </w:rPr>
        <w:t>δαπάνες που προκύπτουν κατά τις διαδικασίες μεταποίησης,</w:t>
      </w:r>
    </w:p>
    <w:p>
      <w:pPr>
        <w:pStyle w:val="StructureList1"/>
        <w:spacing w:before="120" w:after="0"/>
        <w:rPr>
          <w:lang w:val="el" w:eastAsia="el"/>
        </w:rPr>
      </w:pPr>
      <w:r>
        <w:rPr>
          <w:lang w:val="el" w:eastAsia="el"/>
        </w:rPr>
        <w:t>βγ)</w:t>
      </w:r>
      <w:r>
        <w:rPr>
          <w:lang w:val="en" w:eastAsia="en"/>
        </w:rPr>
        <w:tab/>
      </w:r>
      <w:r>
        <w:rPr>
          <w:lang w:val="el" w:eastAsia="el"/>
        </w:rPr>
        <w:t>δαπάνες που συνδέονται με δοκιμές του προϊόντος ή της υπηρεσίας ως προς την προσβασιμότητα,</w:t>
      </w:r>
    </w:p>
    <w:p>
      <w:pPr>
        <w:pStyle w:val="StructureList1"/>
        <w:spacing w:before="120" w:after="0"/>
        <w:rPr>
          <w:lang w:val="el" w:eastAsia="el"/>
        </w:rPr>
      </w:pPr>
      <w:r>
        <w:rPr>
          <w:lang w:val="el" w:eastAsia="el"/>
        </w:rPr>
        <w:t>βδ)</w:t>
      </w:r>
      <w:r>
        <w:rPr>
          <w:lang w:val="en" w:eastAsia="en"/>
        </w:rPr>
        <w:tab/>
      </w:r>
      <w:r>
        <w:rPr>
          <w:lang w:val="el" w:eastAsia="el"/>
        </w:rPr>
        <w:t>δαπάνες που συνδέονται με τη δημιουργία τεκμηρίωσης.</w:t>
      </w:r>
    </w:p>
    <w:p>
      <w:pPr>
        <w:spacing w:before="240" w:after="240"/>
        <w:rPr>
          <w:lang w:val="el" w:eastAsia="el"/>
        </w:rPr>
      </w:pPr>
      <w:r>
        <w:rPr>
          <w:lang w:val="el" w:eastAsia="el"/>
        </w:rPr>
        <w:t>2. Το εκτιμώμενο κόστος και τα οφέλη για τους οικονομικούς φορείς, συμπεριλαμβανομένων των διαδικασιών παραγωγής και των επενδύσεων, σε σχέση με το εκτιμώμενο όφελος για τα άτομα με αναπηρία, λαμβάνοντας υπόψη τον όγκο και τη συχνότητα της χρήσης του συγκεκριμένου προϊόντος ή υπηρεσίας.</w:t>
      </w:r>
    </w:p>
    <w:p>
      <w:pPr>
        <w:spacing w:before="240" w:after="240"/>
        <w:rPr>
          <w:lang w:val="el" w:eastAsia="el"/>
        </w:rPr>
      </w:pPr>
      <w:r>
        <w:rPr>
          <w:lang w:val="el" w:eastAsia="el"/>
        </w:rPr>
        <w:t>3. 0 λόγος του καθαρού κόστους της συμμόρφωσης με τις απαιτήσεις προσβασιμότητας προς τον καθαρό κύκλο εργασιών του οικονομικού φορέα.</w:t>
      </w:r>
    </w:p>
    <w:p>
      <w:pPr>
        <w:spacing w:before="240" w:after="240"/>
        <w:rPr>
          <w:lang w:val="el" w:eastAsia="el"/>
        </w:rPr>
      </w:pPr>
      <w:r>
        <w:rPr>
          <w:lang w:val="el" w:eastAsia="el"/>
        </w:rPr>
        <w:t>Στοιχεία που χρησιμοποιούνται για να εκτιμηθεί το καθαρό κόστος της συμμόρφωσης με τις απαιτήσεις προσβασιμότητας:</w:t>
      </w:r>
    </w:p>
    <w:p>
      <w:pPr>
        <w:pStyle w:val="StructureList1"/>
        <w:spacing w:before="120" w:after="0"/>
        <w:rPr>
          <w:lang w:val="el" w:eastAsia="el"/>
        </w:rPr>
      </w:pPr>
      <w:r>
        <w:rPr>
          <w:lang w:val="el" w:eastAsia="el"/>
        </w:rPr>
        <w:t>α)</w:t>
      </w:r>
      <w:r>
        <w:rPr>
          <w:lang w:val="en" w:eastAsia="en"/>
        </w:rPr>
        <w:tab/>
      </w:r>
      <w:r>
        <w:rPr>
          <w:lang w:val="el" w:eastAsia="el"/>
        </w:rPr>
        <w:t>κριτήρια που αφορούν τις εφάπαξ οργανωτικές δαπάνες που λαμβάνονται υπόψη κατά την εκτίμηση:</w:t>
      </w:r>
    </w:p>
    <w:p>
      <w:pPr>
        <w:pStyle w:val="StructureList1"/>
        <w:spacing w:before="120" w:after="0"/>
        <w:rPr>
          <w:lang w:val="el" w:eastAsia="el"/>
        </w:rPr>
      </w:pPr>
      <w:r>
        <w:rPr>
          <w:lang w:val="el" w:eastAsia="el"/>
        </w:rPr>
        <w:t>αα)</w:t>
      </w:r>
      <w:r>
        <w:rPr>
          <w:lang w:val="en" w:eastAsia="en"/>
        </w:rPr>
        <w:tab/>
      </w:r>
      <w:r>
        <w:rPr>
          <w:lang w:val="el" w:eastAsia="el"/>
        </w:rPr>
        <w:t>δαπάνες που συνδέονται με συμπληρωματικούς ανθρώπινους πόρους με εμπειρογνωμοσύνη σε θέματα προσβασιμότητας,</w:t>
      </w:r>
    </w:p>
    <w:p>
      <w:pPr>
        <w:pStyle w:val="StructureList1"/>
        <w:spacing w:before="120" w:after="0"/>
        <w:rPr>
          <w:lang w:val="el" w:eastAsia="el"/>
        </w:rPr>
      </w:pPr>
      <w:r>
        <w:rPr>
          <w:lang w:val="el" w:eastAsia="el"/>
        </w:rPr>
        <w:t>αβ)</w:t>
      </w:r>
      <w:r>
        <w:rPr>
          <w:lang w:val="en" w:eastAsia="en"/>
        </w:rPr>
        <w:tab/>
      </w:r>
      <w:r>
        <w:rPr>
          <w:lang w:val="el" w:eastAsia="el"/>
        </w:rPr>
        <w:t>δαπάνες που συνδέονται με την κατάρτιση του ανθρώπινου δυναμικού και την απόκτηση ικανοτήτων σε θέματα προσβασιμότητας,</w:t>
      </w:r>
    </w:p>
    <w:p>
      <w:pPr>
        <w:pStyle w:val="StructureList1"/>
        <w:spacing w:before="120" w:after="0"/>
        <w:rPr>
          <w:lang w:val="el" w:eastAsia="el"/>
        </w:rPr>
      </w:pPr>
      <w:r>
        <w:rPr>
          <w:lang w:val="el" w:eastAsia="el"/>
        </w:rPr>
        <w:t>αγ)</w:t>
      </w:r>
      <w:r>
        <w:rPr>
          <w:lang w:val="en" w:eastAsia="en"/>
        </w:rPr>
        <w:tab/>
      </w:r>
      <w:r>
        <w:rPr>
          <w:lang w:val="el" w:eastAsia="el"/>
        </w:rPr>
        <w:t>δαπάνες για την ανάπτυξη νέων διεργασιών για τη συμπερίληψη της προσβασιμότητας στην ανάπτυξη προϊόντων ή στην παροχή υπηρεσιών,</w:t>
      </w:r>
    </w:p>
    <w:p>
      <w:pPr>
        <w:pStyle w:val="StructureList1"/>
        <w:spacing w:before="120" w:after="0"/>
        <w:rPr>
          <w:lang w:val="el" w:eastAsia="el"/>
        </w:rPr>
      </w:pPr>
      <w:r>
        <w:rPr>
          <w:lang w:val="el" w:eastAsia="el"/>
        </w:rPr>
        <w:t>αδ)</w:t>
      </w:r>
      <w:r>
        <w:rPr>
          <w:lang w:val="en" w:eastAsia="en"/>
        </w:rPr>
        <w:tab/>
      </w:r>
      <w:r>
        <w:rPr>
          <w:lang w:val="el" w:eastAsia="el"/>
        </w:rPr>
        <w:t>δαπάνες που συνδέονται με την ανάπτυξη υλικού καθοδήγησης σχετικά με την προσβασιμότητα,</w:t>
      </w:r>
    </w:p>
    <w:p>
      <w:pPr>
        <w:pStyle w:val="StructureList1"/>
        <w:spacing w:before="120" w:after="0"/>
        <w:rPr>
          <w:lang w:val="el" w:eastAsia="el"/>
        </w:rPr>
      </w:pPr>
      <w:r>
        <w:rPr>
          <w:lang w:val="el" w:eastAsia="el"/>
        </w:rPr>
        <w:t>αε)</w:t>
      </w:r>
      <w:r>
        <w:rPr>
          <w:lang w:val="en" w:eastAsia="en"/>
        </w:rPr>
        <w:tab/>
      </w:r>
      <w:r>
        <w:rPr>
          <w:lang w:val="el" w:eastAsia="el"/>
        </w:rPr>
        <w:t>εφάπαξ δαπάνες για την άρτια κατανόηση της νομοθεσίας περί προσβασιμότητας,</w:t>
      </w:r>
    </w:p>
    <w:p>
      <w:pPr>
        <w:pStyle w:val="StructureList1"/>
        <w:spacing w:before="120" w:after="0"/>
        <w:rPr>
          <w:lang w:val="el" w:eastAsia="el"/>
        </w:rPr>
      </w:pPr>
      <w:r>
        <w:rPr>
          <w:lang w:val="el" w:eastAsia="el"/>
        </w:rPr>
        <w:t>β)</w:t>
      </w:r>
      <w:r>
        <w:rPr>
          <w:lang w:val="en" w:eastAsia="en"/>
        </w:rPr>
        <w:tab/>
      </w:r>
      <w:r>
        <w:rPr>
          <w:lang w:val="el" w:eastAsia="el"/>
        </w:rPr>
        <w:t>κριτήρια που αφορούν στις τρέχουσες δαπάνες παραγωγής και ανάπτυξης που λαμβάνονται υπόψη κατά την εκτίμηση:</w:t>
      </w:r>
    </w:p>
    <w:p>
      <w:pPr>
        <w:pStyle w:val="StructureList1"/>
        <w:spacing w:before="120" w:after="0"/>
        <w:rPr>
          <w:lang w:val="el" w:eastAsia="el"/>
        </w:rPr>
      </w:pPr>
      <w:r>
        <w:rPr>
          <w:lang w:val="el" w:eastAsia="el"/>
        </w:rPr>
        <w:t>βα)</w:t>
      </w:r>
      <w:r>
        <w:rPr>
          <w:lang w:val="en" w:eastAsia="en"/>
        </w:rPr>
        <w:tab/>
      </w:r>
      <w:r>
        <w:rPr>
          <w:lang w:val="el" w:eastAsia="el"/>
        </w:rPr>
        <w:t>δαπάνες που συνδέονται με τον σχεδιασμό των χαρακτηριστικών προσβασιμότητας του προϊόντος ή της υπηρεσίας,</w:t>
      </w:r>
    </w:p>
    <w:p>
      <w:pPr>
        <w:pStyle w:val="StructureList1"/>
        <w:spacing w:before="120" w:after="0"/>
        <w:rPr>
          <w:lang w:val="el" w:eastAsia="el"/>
        </w:rPr>
      </w:pPr>
      <w:r>
        <w:rPr>
          <w:lang w:val="el" w:eastAsia="el"/>
        </w:rPr>
        <w:t>ββ)</w:t>
      </w:r>
      <w:r>
        <w:rPr>
          <w:lang w:val="en" w:eastAsia="en"/>
        </w:rPr>
        <w:tab/>
      </w:r>
      <w:r>
        <w:rPr>
          <w:lang w:val="el" w:eastAsia="el"/>
        </w:rPr>
        <w:t>δαπάνες που προκύπτουν κατά τις διαδικασίες μεταποίησης,</w:t>
      </w:r>
    </w:p>
    <w:p>
      <w:pPr>
        <w:pStyle w:val="StructureList1"/>
        <w:spacing w:before="120" w:after="0"/>
        <w:rPr>
          <w:lang w:val="el" w:eastAsia="el"/>
        </w:rPr>
      </w:pPr>
      <w:r>
        <w:rPr>
          <w:lang w:val="el" w:eastAsia="el"/>
        </w:rPr>
        <w:t>βν)</w:t>
      </w:r>
      <w:r>
        <w:rPr>
          <w:lang w:val="en" w:eastAsia="en"/>
        </w:rPr>
        <w:tab/>
      </w:r>
      <w:r>
        <w:rPr>
          <w:lang w:val="el" w:eastAsia="el"/>
        </w:rPr>
        <w:t>δαπάνες που συνδέονται με δοκιμές του προϊόντος ή της υπηρεσίας ως προς την προσβασιμότητα,</w:t>
      </w:r>
    </w:p>
    <w:p>
      <w:pPr>
        <w:pStyle w:val="StructureList1"/>
        <w:spacing w:before="120" w:after="0"/>
        <w:rPr>
          <w:lang w:val="el" w:eastAsia="el"/>
        </w:rPr>
      </w:pPr>
      <w:r>
        <w:rPr>
          <w:lang w:val="el" w:eastAsia="el"/>
        </w:rPr>
        <w:t>βδ)</w:t>
      </w:r>
      <w:r>
        <w:rPr>
          <w:lang w:val="en" w:eastAsia="en"/>
        </w:rPr>
        <w:tab/>
      </w:r>
      <w:r>
        <w:rPr>
          <w:lang w:val="el" w:eastAsia="el"/>
        </w:rPr>
        <w:t>δαπάνες που συνδέονται με τη δημιουρνία τεκμηρίωσης.</w:t>
      </w:r>
    </w:p>
    <w:p>
      <w:pPr>
        <w:spacing w:before="240" w:after="240"/>
        <w:rPr>
          <w:lang w:val="el" w:eastAsia="el"/>
        </w:rPr>
      </w:pPr>
      <w:r>
        <w:rPr>
          <w:b/>
          <w:bCs/>
          <w:lang w:val="el" w:eastAsia="el"/>
        </w:rPr>
        <w:t xml:space="preserve">ΠΑΡΑΡΤΗΜΑ </w:t>
      </w:r>
    </w:p>
    <w:p>
      <w:pPr>
        <w:spacing w:before="240" w:after="240"/>
        <w:rPr>
          <w:lang w:val="el" w:eastAsia="el"/>
        </w:rPr>
      </w:pPr>
      <w:r>
        <w:rPr>
          <w:b/>
          <w:bCs/>
          <w:lang w:val="el" w:eastAsia="el"/>
        </w:rPr>
        <w:t>VIIΔΗΛΩΣΗ ΣΥΜΜΟΡΦΩΣΗΣ ΕΕ</w:t>
      </w:r>
    </w:p>
    <w:p>
      <w:pPr>
        <w:spacing w:before="240" w:after="240"/>
        <w:rPr>
          <w:lang w:val="el" w:eastAsia="el"/>
        </w:rPr>
      </w:pPr>
      <w:r>
        <w:rPr>
          <w:lang w:val="el" w:eastAsia="el"/>
        </w:rPr>
        <w:t>1. Αριθ. xxxxxx (αποκλειστικό στοιχείο ταύτισης του προϊόντος):</w:t>
      </w:r>
    </w:p>
    <w:p>
      <w:pPr>
        <w:spacing w:before="240" w:after="240"/>
        <w:rPr>
          <w:lang w:val="el" w:eastAsia="el"/>
        </w:rPr>
      </w:pPr>
      <w:r>
        <w:rPr>
          <w:lang w:val="el" w:eastAsia="el"/>
        </w:rPr>
        <w:t>2. Όνομα/Επωνυμία και διεύθυνση του κατασκευαστή και κατά περίπτωση του εξουσιοδοτημένου αντιπροσώπου του:</w:t>
      </w:r>
    </w:p>
    <w:p>
      <w:pPr>
        <w:spacing w:before="240" w:after="240"/>
        <w:rPr>
          <w:lang w:val="el" w:eastAsia="el"/>
        </w:rPr>
      </w:pPr>
      <w:r>
        <w:rPr>
          <w:lang w:val="el" w:eastAsia="el"/>
        </w:rPr>
        <w:t>3. Η παρούσα δήλωση συμμόρφωσης εκδίδεται με αποκλειστική ευθύνη του κατασκευαστή:</w:t>
      </w:r>
    </w:p>
    <w:p>
      <w:pPr>
        <w:spacing w:before="240" w:after="240"/>
        <w:rPr>
          <w:lang w:val="el" w:eastAsia="el"/>
        </w:rPr>
      </w:pPr>
      <w:r>
        <w:rPr>
          <w:lang w:val="el" w:eastAsia="el"/>
        </w:rPr>
        <w:t>4. Στόχος της δήλωσης (ταύτιση προϊόντος που καθιστά δυνατή την ιχνηλασιμότητα. Μπορεί να περιλαμβάνει φωτογραφία, κατά περίπτωση): α) γενική περιγραφή του προϊόντος, β) εφαρμοζόμενη διαδικασία αξιολόγησης της συμμόρφωσης προς τις εφαρμοστέες απαιτήσεις προσβασιμότητας που αναφέρονται στο άρθρο 5, γ) απόδειξη ότι οι σχετικές απαιτήσεις προσβασιμότητας θα συνεπάγονταν θεμελιώδη μεταβολή ή θα επέβαλαν δυσανάλογη επιβάρυνση, στην περίπτωση που ο κατασκευαστής κάνει χρήση της παρέκκλισης που προβλέπεται στο άρθρο 14.</w:t>
      </w:r>
    </w:p>
    <w:p>
      <w:pPr>
        <w:spacing w:before="240" w:after="240"/>
        <w:rPr>
          <w:lang w:val="el" w:eastAsia="el"/>
        </w:rPr>
      </w:pPr>
      <w:r>
        <w:rPr>
          <w:lang w:val="el" w:eastAsia="el"/>
        </w:rPr>
        <w:t xml:space="preserve">5. 0 στόχος της δήλωσης που περιγράφεται παραπάνω είναι σύμφωνος προς τη σχετική ενωσιακή νομοθεσία εναρμόνισης: </w:t>
      </w:r>
    </w:p>
    <w:p>
      <w:pPr>
        <w:spacing w:before="240" w:after="240"/>
        <w:rPr>
          <w:lang w:val="el" w:eastAsia="el"/>
        </w:rPr>
      </w:pPr>
      <w:r>
        <w:rPr>
          <w:lang w:val="el" w:eastAsia="el"/>
        </w:rPr>
        <w:t>6. Μνεία των σχετικών εναρμονισμένων προτύπων που χρησιμοποιούνται ή μνεία των προδιαγραφών σε σχέση με τις οποίες δηλώνεται η συμμόρφωση:</w:t>
      </w:r>
    </w:p>
    <w:p>
      <w:pPr>
        <w:spacing w:before="240" w:after="240"/>
        <w:rPr>
          <w:lang w:val="el" w:eastAsia="el"/>
        </w:rPr>
      </w:pPr>
      <w:r>
        <w:rPr>
          <w:lang w:val="el" w:eastAsia="el"/>
        </w:rPr>
        <w:t>7. Ενδεχομένως, ο κοινοποιημένος οργανισμός ... (ονομασία, αριθμός) _ πραγματοποίησε _ (περιγραφή της παρέμβασης) _ και εξέδωσε τη βεβαίωση: _.</w:t>
      </w:r>
    </w:p>
    <w:p>
      <w:pPr>
        <w:spacing w:before="240" w:after="240"/>
        <w:rPr>
          <w:lang w:val="el" w:eastAsia="el"/>
        </w:rPr>
      </w:pPr>
      <w:r>
        <w:rPr>
          <w:lang w:val="el" w:eastAsia="el"/>
        </w:rPr>
        <w:t>8. Πρόσθετες πληροφορίες:</w:t>
      </w:r>
    </w:p>
    <w:p>
      <w:pPr>
        <w:spacing w:before="240" w:after="240"/>
        <w:rPr>
          <w:lang w:val="el" w:eastAsia="el"/>
        </w:rPr>
      </w:pPr>
      <w:r>
        <w:rPr>
          <w:lang w:val="el" w:eastAsia="el"/>
        </w:rPr>
        <w:t xml:space="preserve">Υπογραφή </w:t>
      </w:r>
      <w:r>
        <w:rPr>
          <w:i/>
          <w:iCs/>
          <w:lang w:val="el" w:eastAsia="el"/>
        </w:rPr>
        <w:t>για</w:t>
      </w:r>
      <w:r>
        <w:rPr>
          <w:lang w:val="el" w:eastAsia="el"/>
        </w:rPr>
        <w:t xml:space="preserve"> και εξ </w:t>
      </w:r>
      <w:r>
        <w:rPr>
          <w:i/>
          <w:iCs/>
          <w:lang w:val="el" w:eastAsia="el"/>
        </w:rPr>
        <w:t xml:space="preserve">ονόματος: </w:t>
      </w:r>
    </w:p>
    <w:p>
      <w:pPr>
        <w:spacing w:before="240" w:after="240"/>
        <w:rPr>
          <w:lang w:val="el" w:eastAsia="el"/>
        </w:rPr>
      </w:pPr>
      <w:r>
        <w:rPr>
          <w:lang w:val="el" w:eastAsia="el"/>
        </w:rPr>
        <w:t>(τόπος και ημερομηνία έκδοσης)</w:t>
      </w:r>
    </w:p>
    <w:p>
      <w:pPr>
        <w:spacing w:before="240" w:after="240"/>
        <w:rPr>
          <w:lang w:val="el" w:eastAsia="el"/>
        </w:rPr>
      </w:pPr>
      <w:r>
        <w:rPr>
          <w:lang w:val="el" w:eastAsia="el"/>
        </w:rPr>
        <w:t>(όνομα, θέση ) (υπογραφή)</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Νοεμβρίου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08"/>
        <w:gridCol w:w="3243"/>
        <w:gridCol w:w="27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ΘΕΟ∆ΩΡΟΣΣΚΥΛΑΚΑΚΗΣ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ΣΠΥΡΙ∆ΩΝ-Α∆ΩΝΙΣΓΕΩΡΓΙΑ∆ΗΣ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ΝΙΚΟΛΑΟΣΠΑΠΑΘΑΝΑΣΗΣ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ΚΩΝΣΤΑΝΤΙΝΟΣΧΑΤΖΗ∆ΑΚΗΣ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ΑΘΑΝΑΣΙΟΣΠΛΕΥΡΗΣ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ΠΑΝΑΓΙΩΤΗΣΘΕO∆ΩΡΙΚΑΚΟΣ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ΣΤΥΛΙΑΝΗΜΕΝ∆ΩΝΗ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ΜΑΥΡΟΥ∆ΗΣΒΟΡΙ∆ΗΣ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ΣΤΥΛΙΑΝΟΣΠΕΤΣΑΣ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ΚΩΝΣΤΑΝΤΙΝΟΣΚΑΡΑΜΑΝΛΗΣ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ΙΩΑΝΝΗΣΠΛΑΚΙΩΤΑΚΗΣ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ΓΕΩΡΓΙΟΣΓΕΩΡΓΑΝΤΑΣ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ΒΑΣΙΛΕΙΟΣΚΙΚΙΛΙΑΣ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ΧΡΗΣΤΟΣΣΤΥΛΙΑΝΙ∆ΗΣ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ΓΕΩΡΓΙΟΣΓΕΡΑΠΕΤΡΙΤΗΣ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ΙΩΑΝΝΗΣΟΙΚΟΝΟΜΟΥ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Νοεμβρίου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p>
      <w:pPr>
        <w:spacing w:before="240" w:after="240"/>
        <w:rPr>
          <w:lang w:val="el" w:eastAsia="el"/>
        </w:rPr>
      </w:pPr>
      <w:r>
        <w:rPr>
          <w:b/>
          <w:bCs/>
          <w:lang w:val="el" w:eastAsia="el"/>
        </w:rPr>
        <w:t xml:space="preserve">Ταχυδρομική Διεύθυνση: </w:t>
      </w:r>
      <w:r>
        <w:rPr>
          <w:b/>
          <w:bCs/>
          <w:lang w:val="el" w:eastAsia="el"/>
        </w:rPr>
        <w:t>Καποδιστρίου 34, τ.κ. 10432, Αθήνα</w:t>
      </w:r>
    </w:p>
    <w:p>
      <w:pPr>
        <w:spacing w:before="240" w:after="240"/>
        <w:rPr>
          <w:lang w:val="el" w:eastAsia="el"/>
        </w:rPr>
      </w:pPr>
      <w:r>
        <w:rPr>
          <w:b/>
          <w:bCs/>
          <w:lang w:val="el" w:eastAsia="el"/>
        </w:rPr>
        <w:t>ΤΗΛΕΦΩΝΙΚΟ ΚΕΝΤΡΟ: 2105279000-fax:2105279054</w:t>
      </w:r>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b/>
          <w:bCs/>
          <w:lang w:val="el" w:eastAsia="el"/>
        </w:rPr>
        <w:t>(Ισόγειο, τηλ. 210 5279178 - 180)</w:t>
      </w:r>
    </w:p>
    <w:p>
      <w:pPr>
        <w:spacing w:before="240" w:after="240"/>
        <w:rPr>
          <w:lang w:val="el" w:eastAsia="el"/>
        </w:rPr>
      </w:pPr>
      <w:r>
        <w:rPr>
          <w:b/>
          <w:bCs/>
          <w:lang w:val="el" w:eastAsia="el"/>
        </w:rPr>
        <w:t xml:space="preserve">Πληροφορίες: </w:t>
      </w:r>
      <w:r>
        <w:rPr>
          <w:b/>
          <w:bCs/>
          <w:lang w:val="el" w:eastAsia="el"/>
        </w:rPr>
        <w:t>(Ισόγειο, Γρ. 3 και τηλεφ. κέντρο 210 5279000)</w:t>
      </w:r>
    </w:p>
    <w:p>
      <w:pPr>
        <w:spacing w:before="240" w:after="240"/>
        <w:rPr>
          <w:lang w:val="el" w:eastAsia="el"/>
        </w:rPr>
      </w:pPr>
      <w:r>
        <w:rPr>
          <w:b/>
          <w:bCs/>
          <w:lang w:val="el" w:eastAsia="el"/>
        </w:rPr>
        <w:t xml:space="preserve">Παραλαβή Δημ. Ύλης: </w:t>
      </w:r>
      <w:r>
        <w:rPr>
          <w:b/>
          <w:bCs/>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