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Οκτωβρίου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171</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5059</w:t>
      </w:r>
    </w:p>
    <w:p>
      <w:pPr>
        <w:pStyle w:val="PreambelText"/>
        <w:spacing w:before="240" w:after="240"/>
        <w:rPr>
          <w:lang w:val="el" w:eastAsia="el"/>
        </w:rPr>
      </w:pPr>
      <w:r>
        <w:rPr>
          <w:b/>
          <w:bCs/>
          <w:lang w:val="el" w:eastAsia="el"/>
        </w:rPr>
        <w:t>Κύρωση της από 10.9.2023 Πράξης Νομοθετικού Περιεχομένου «Επείγουσες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 (Α’ 150).</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Αναστολή μέτρων αναγκαστικής εκτέλεσης λόγω της κακοκαιρίας «Daniel»</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Μετάθεση ημερομηνίας ανακήρυξης συνδυασμών για τις δημοτικές και περιφερειακές εκλογές της 8ης Οκτωβρίου 2023</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Έναρξη ισχύος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10.9.2023 Πράξης</w:t>
      </w:r>
    </w:p>
    <w:p>
      <w:pPr>
        <w:spacing w:before="240" w:after="240"/>
        <w:rPr>
          <w:lang w:val="el" w:eastAsia="el"/>
        </w:rPr>
      </w:pPr>
      <w:r>
        <w:rPr>
          <w:b/>
          <w:bCs/>
          <w:lang w:val="el" w:eastAsia="el"/>
        </w:rPr>
        <w:t>Νομοθετικού Περιεχομένου «Επείγουσες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10.9.2023 Πράξη Νομοθετικού Περιεχομένου «Επείγουσες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 που δημοσιεύθηκε στο υπ’ αρ. 150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w:t>
      </w:r>
    </w:p>
    <w:p>
      <w:pPr>
        <w:spacing w:before="240" w:after="240"/>
        <w:rPr>
          <w:lang w:val="el" w:eastAsia="el"/>
        </w:rPr>
      </w:pPr>
      <w:r>
        <w:rPr>
          <w:b/>
          <w:bCs/>
          <w:lang w:val="el" w:eastAsia="el"/>
        </w:rPr>
        <w:t>Η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2, την παρ. 1 του άρθρου 5, την παρ. 1 του άρθρου 9, την παρ. 1 του άρθρου 17, την παρ. 1 του άρθρου 20, τις παρ. 1, 2 και 4 του άρθρου 25, την παρ. 1 του άρθρου 44 και την παρ. 2 του άρθρου 102 του Συντάγματος.</w:t>
      </w:r>
    </w:p>
    <w:p>
      <w:pPr>
        <w:spacing w:before="240" w:after="240"/>
        <w:rPr>
          <w:lang w:val="el" w:eastAsia="el"/>
        </w:rPr>
      </w:pPr>
      <w:r>
        <w:rPr>
          <w:lang w:val="el" w:eastAsia="el"/>
        </w:rPr>
        <w:t>2. Την εξαιρετικά επείγουσα και απρόβλεπτη ανάγκη για τη λήψη μέτρων οριζόντιας αναστολής της αναγκαστικής εκτέλεσης επί της κινητής και ακίνητης περιουσίας φυσικών και νομικών προσώπων, καθώς και νομικών οντοτήτων στην Περιφέρεια Θεσσαλίας που επλήγη ιδιαιτέρως από την κακοκαιρία «Daniel», όπως επίσης για τη μετάθεση, στην ίδια Περιφέρεια, της ημερομηνίας ανακήρυξης των συνδυασμών ειδικά για τις δημοτικές και περιφερειακές εκλογές της 8ης Οκτωβρίου 2023.</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Αναστολή μέτρων αναγκαστικής εκτέλεσης λόγω της κακοκαιρίας «Daniel»</w:t>
      </w:r>
    </w:p>
    <w:p>
      <w:pPr>
        <w:spacing w:before="240" w:after="240"/>
        <w:rPr>
          <w:lang w:val="el" w:eastAsia="el"/>
        </w:rPr>
      </w:pPr>
      <w:r>
        <w:rPr>
          <w:lang w:val="el" w:eastAsia="el"/>
        </w:rPr>
        <w:t>1. Στην Περιφέρεια Θεσσαλίας, αναστέλλεται από τη δημοσίευση της παρούσας έως και τη 10η Νοεμβρίου 2023, η διενέργεια κάθε πράξης αναγκαστικής εκτέλεσης επί της κινητής ή ακίνητης περιουσίας φυσικών ή νομικών προσώπων, καθώς και νομικών οντοτήτων. Η αναστολή καταλαμβάνει, ιδίως, τη διενέργεια πλειστηριασμών, κατασχέσεων, αποβολών, προσωπικών κρατήσεων, καθώς και κάθε διαδικασία που διενεργείται μέσω των ηλεκτρονικών συστημάτων πλειστηριασμών (ΗΛ.ΣΥ.ΠΛΕΙΣ.) [e-auction]. Πράξεις των προηγούμενων εδαφίων, που έχουν διενεργηθεί κατά το χρονικό διάστημα από την 6η Σεπτεμβρίου 2023 έως και τη δημοσίευση της παρούσας, λογίζονται ως μη γενόμενες και επαναλαμβάνονται μετά την πάροδο της ως άνω προθεσμίας αναστολής.</w:t>
      </w:r>
    </w:p>
    <w:p>
      <w:pPr>
        <w:spacing w:before="240" w:after="240"/>
        <w:rPr>
          <w:lang w:val="el" w:eastAsia="el"/>
        </w:rPr>
      </w:pPr>
      <w:r>
        <w:rPr>
          <w:lang w:val="el" w:eastAsia="el"/>
        </w:rPr>
        <w:t>2. Στην Περιφέρεια Θεσσαλίας, κατά το χρονικό διάστημα από την 6η Σεπτεμβρίου 2023 έως και τη 10η Νοεμβρίου 2023, αναστέλλονται οι προθεσμίες άσκησης ενδίκων μέσων, βοηθημάτων και αντιρρήσεων που αφορούν σε εκκρεμείς διαδικασίες αναγκαστικής εκτέλεσης.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Μετάθεση ημερομηνίας ανακήρυξης συνδυασμών για τις δημοτικές και περιφερειακές εκλογές της 8ης Οκτωβρίου 2023</w:t>
      </w:r>
    </w:p>
    <w:p>
      <w:pPr>
        <w:spacing w:before="240" w:after="240"/>
        <w:rPr>
          <w:lang w:val="el" w:eastAsia="el"/>
        </w:rPr>
      </w:pPr>
      <w:r>
        <w:rPr>
          <w:lang w:val="el" w:eastAsia="el"/>
        </w:rPr>
        <w:t>Η ημερομηνία της παρ. 1 του άρθρου 17 και της παρ. 1 του άρθρου 53 του ν. 4804/2021 (Α’ 90) για την ανακήρυξη συνδυασμών, ειδικά για τις δημοτικές και περιφερειακές εκλογές της 8ης Οκτωβρίου 2023 και αποκλειστικά για τα αρμόδια δικαστήρια που έχουν την έδρα τους στην Περιφέρεια Θεσσαλίας και των οποίων η λειτουργία έχει ανασταλεί για το χρονικό διάστημα από 8 έως και 13 Σεπτεμβρίου 2023, σύμφωνα με τις υπό στοιχεία 38991οικ./8.9.2023 (Β’ 5382) και 38993οικ./9.9.2023 (Β’ 5385) αποφάσεις του Υπουργού Δικαιοσύνης, μετατίθεται για τη 15η Σεπτεμβρίου 2023.</w:t>
      </w:r>
    </w:p>
    <w:p>
      <w:pPr>
        <w:spacing w:before="240" w:after="240"/>
        <w:rPr>
          <w:lang w:val="el" w:eastAsia="el"/>
        </w:rPr>
      </w:pPr>
      <w:r>
        <w:rPr>
          <w:lang w:val="el" w:eastAsia="el"/>
        </w:rPr>
        <w:t>Άρθρο τρίτο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Κυβερνήσεως, εκτός αν άλλως ορίζεται στις επιμέρους διατάξεις της.</w:t>
      </w:r>
    </w:p>
    <w:p>
      <w:pPr>
        <w:spacing w:before="240" w:after="240"/>
        <w:rPr>
          <w:lang w:val="el" w:eastAsia="el"/>
        </w:rPr>
      </w:pPr>
      <w:r>
        <w:rPr>
          <w:lang w:val="el" w:eastAsia="el"/>
        </w:rPr>
        <w:t>Αθήνα, 10 Σεπτεμβρίου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ΚΩΝΣΤΑΝΤΙΝΟΣ ΧΑΤΖΗΔΑΚΗΣ, ΓΕΩΡΓΙΟΣ ΓΕΡΑΠΕΤΡΙΤΗΣ, ΝΙΚΟΛΑΟΣ ΓΕΩΡΓΙΟΣ ΔΕΝΔΙΑΣ, ΝΙΚΗ ΚΕΡΑΜΕΩΣ, ΚΥΡΙΑΚΟΣ ΠΙΕΡΡΑΚΑΚΗΣ, ΜΙΧΑΗΛ ΧΡΥΣΟΧΟΪΔΗΣ, ΧΡΗΣΤΟΣ ΣΤΑΪΚΟΥΡΑΣ, ΘΕΟΔΩΡΟΣ ΣΚΥΛΑΚΑΚΗΣ, ΚΩΝΣΤΑΝΤΙΝΟΣ ΣΚΡΕΚΑΣ, ΣΠΥΡΙΔΩΝ-ΑΔΩΝΙΣ ΓΕΩΡΓΙΑΔΗΣ, ΙΩΑΝΝΗΣ ΟΙΚΟΝΟΜΟΥ, ΓΕΩΡΓΙΟΣ ΦΛΩΡΙΔΗΣ, ΣΤΥΛΙΑΝΗ ΜΕΝΔΩΝΗ, ΔΗΜΗΤΡΙΟΣ ΚΑΙΡΙΔΗΣ, ΣΟΦΙΑ ΖΑΧΑΡΑΚΗ, ΕΛΕΥΘΕΡΙΟΣ ΑΥΓΕΝΑΚΗΣ, ΜΙΛΤΙΑΔΗΣ ΒΑΡΒΙΤΣΙΩΤΗΣ, ΟΛΓΑ ΚΕΦΑΛΟΓΙΑΝΝΗ, ΔΗΜΗΤΡΙΟΣ ΠΑΠΑΣΤΕΡΓΙΟΥ, ΒΑΣΙΛΕΙΟΣ ΚΙΚΙΛΙΑΣ, ΜΑΥΡΟΥΔΗΣ ΒΟΡΙΔΗΣ, ΣΤΑΥΡΟΣ Ν. ΠΑΠΑΣΤΑΥΡΟΥ, ΧΡΗΣΤΟΣ ΓΕΩΡΓΙΟΣ ΣΚΕΡΤΣΟΣ, ΝΙΚΟΛΑΟΣ ΠΑΠΑΘΑΝΑΣΗΣ, ΘΕΟΔΩΡΟΣ ΛΙΒΑΝΙΟΣ, ΙΩΑΝΝΗΣ ΒΡΟΥΤΣΗΣ, ΕΙΡΗΝΗ ΑΓΑΠΗΔΑΚΗ.»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Οκτωβρίου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85"/>
        <w:gridCol w:w="5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 ΔΗΜΗΤΡΙΟΣ ΠΑΠΑΣΤΕΡΓΙΟΥ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Οκτωβρίου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