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8 Δεκεμβρίου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223</w:t>
      </w:r>
    </w:p>
    <w:p>
      <w:pPr>
        <w:pStyle w:val="PreambelText"/>
        <w:spacing w:before="240" w:after="240"/>
        <w:rPr>
          <w:lang w:val="el" w:eastAsia="el"/>
        </w:rPr>
      </w:pPr>
      <w:r>
        <w:rPr>
          <w:b/>
          <w:bCs/>
          <w:lang w:val="el" w:eastAsia="el"/>
        </w:rPr>
        <w:t>NOMOΣ ΥΠ’ ΑΡΙΘΜ. 5256</w:t>
      </w:r>
    </w:p>
    <w:p>
      <w:pPr>
        <w:pStyle w:val="PreambelText"/>
        <w:spacing w:before="240" w:after="240"/>
        <w:rPr>
          <w:lang w:val="el" w:eastAsia="el"/>
        </w:rPr>
      </w:pPr>
      <w:r>
        <w:rPr>
          <w:b/>
          <w:bCs/>
          <w:lang w:val="el" w:eastAsia="el"/>
        </w:rPr>
        <w:t>Ψηφιακή ενίσχυση της οδικής ασφάλειας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Α’ : </w:t>
      </w:r>
    </w:p>
    <w:p>
      <w:pPr>
        <w:pStyle w:val="Heading1"/>
        <w:spacing w:before="240" w:after="240"/>
        <w:rPr>
          <w:lang w:val="el" w:eastAsia="el"/>
        </w:rPr>
      </w:pPr>
      <w:r>
        <w:rPr>
          <w:lang w:val="el" w:eastAsia="el"/>
        </w:rPr>
        <w:t>ΨΗΦΙΑΚΗ ΕΝΙΣΧΥΣΗ ΤΗΣ ΟΔΙΚΗΣ ΑΣΦΑΛΕΙΑΣ - ΕΝΙΑΙΟ ΗΛΕΚΤΡΟΝΙΚΟ ΣΥΣΤΗΜΑ ΚΑΤΑΓΡΑΦΗΣ ΚΑΙ ΔΙΑΧΕΙΡΙΣΗΣ ΠΑΡΑΒΑΣΕΩΝ Κ.Ο.Κ. ΚΑΙ ΠΡΟΣΤΙΜΩΝ</w:t>
      </w:r>
    </w:p>
    <w:p>
      <w:pPr>
        <w:pStyle w:val="StructureList1"/>
        <w:spacing w:before="120" w:after="0"/>
        <w:rPr>
          <w:lang w:val="el" w:eastAsia="el"/>
        </w:rPr>
      </w:pPr>
      <w:r>
        <w:rPr>
          <w:lang w:val="el" w:eastAsia="el"/>
        </w:rPr>
        <w:t>-</w:t>
      </w:r>
      <w:r>
        <w:rPr>
          <w:lang w:val="en" w:eastAsia="en"/>
        </w:rPr>
        <w:tab/>
      </w:r>
      <w:r>
        <w:rPr>
          <w:lang w:val="el" w:eastAsia="el"/>
        </w:rPr>
        <w:t>ΔΙΚΤYΟ ΚΑΜΕΡΩΝ ΚΑΤΑΓΡΑΦΗΣ ΠΑΡΑΒΑΣΕΩΝ Κ.Ο.Κ.</w:t>
      </w:r>
    </w:p>
    <w:p>
      <w:pPr>
        <w:pStyle w:val="StructureList1"/>
        <w:spacing w:before="120" w:after="0"/>
        <w:rPr>
          <w:lang w:val="el" w:eastAsia="el"/>
        </w:rPr>
      </w:pPr>
      <w:r>
        <w:rPr>
          <w:lang w:val="el" w:eastAsia="el"/>
        </w:rPr>
        <w:t>-</w:t>
      </w:r>
      <w:r>
        <w:rPr>
          <w:lang w:val="en" w:eastAsia="en"/>
        </w:rPr>
        <w:tab/>
      </w:r>
      <w:r>
        <w:rPr>
          <w:lang w:val="el" w:eastAsia="el"/>
        </w:rPr>
        <w:t>ΔΗΜΙΟΥΡΓΙΑ ΦΟΡΕΑ ΔΙΑΧΕΙΡΙΣΗΣ ΣΥΣΤΗΜΑΤΟΣ ΚΑΜΕΡΩΝ ΚΑΙ ΠΡΟΣΤΙΜΩΝ - ΔΙΑΔΙΚΑΣΙΑ ΨΗΦΙΑΚΗΣ ΒΕΒΑΙΩΣΗΣ ΤΡΟΧΟΝΟΜΙΚΩΝ ΠΑΡΑΒΑΣΕΩΝ</w:t>
      </w:r>
    </w:p>
    <w:p>
      <w:pPr>
        <w:pStyle w:val="Heading2"/>
        <w:spacing w:before="240" w:after="240"/>
        <w:rPr>
          <w:lang w:val="el" w:eastAsia="el"/>
        </w:rPr>
      </w:pPr>
      <w:r>
        <w:rPr>
          <w:lang w:val="el" w:eastAsia="el"/>
        </w:rPr>
        <w:t xml:space="preserve">ΚΕΦΑΛΑΙΟ Α’ : </w:t>
      </w:r>
    </w:p>
    <w:p>
      <w:pPr>
        <w:pStyle w:val="Heading2"/>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w:t>
      </w:r>
    </w:p>
    <w:p>
      <w:pPr>
        <w:pStyle w:val="Heading2"/>
        <w:spacing w:before="240" w:after="240"/>
        <w:rPr>
          <w:lang w:val="el" w:eastAsia="el"/>
        </w:rPr>
      </w:pPr>
      <w:r>
        <w:rPr>
          <w:lang w:val="el" w:eastAsia="el"/>
        </w:rPr>
        <w:t xml:space="preserve">ΚΕΦΑΛΑΙΟ Β΄ : </w:t>
      </w:r>
    </w:p>
    <w:p>
      <w:pPr>
        <w:pStyle w:val="Heading2"/>
        <w:spacing w:before="240" w:after="240"/>
        <w:rPr>
          <w:lang w:val="el" w:eastAsia="el"/>
        </w:rPr>
      </w:pPr>
      <w:r>
        <w:rPr>
          <w:lang w:val="el" w:eastAsia="el"/>
        </w:rPr>
        <w:t>ΕΝΙΑΙΟ ΗΛΕΚΤΡΟΝΙΚΟ ΣΥΣΤΗΜΑ ΚΑΤΑΓΡΑΦΗΣ ΚΑΙ ΔΙΑΧΕΙΡΙΣΗΣ ΠΑΡΑΒΑΣΕΩΝ ΚΩΔΙΚΑ ΟΔΙΚΗΣ ΚΥΚΛΟΦΟΡΙΑΣ ΚΑΙ ΠΡΟΣΤΙΜΩΝ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Δημιουργία και λειτουργία του Ενιαίου Ηλεκτρονικού Συστήματος καταγραφής και διαχείρισης παραβάσεων Κ.Ο.Κ. και προστίμων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Είσοδος και χρήση του Ενιαίου Ηλεκτρονικού Συστήματος και των Υποσυστημάτων του</w:t>
      </w:r>
    </w:p>
    <w:p>
      <w:pPr>
        <w:pStyle w:val="Heading2"/>
        <w:spacing w:before="240" w:after="240"/>
        <w:rPr>
          <w:lang w:val="el" w:eastAsia="el"/>
        </w:rPr>
      </w:pPr>
      <w:r>
        <w:rPr>
          <w:lang w:val="el" w:eastAsia="el"/>
        </w:rPr>
        <w:t xml:space="preserve">ΚΕΦΑΛΑΙΟ Γ΄: </w:t>
      </w:r>
    </w:p>
    <w:p>
      <w:pPr>
        <w:pStyle w:val="Heading2"/>
        <w:spacing w:before="240" w:after="240"/>
        <w:rPr>
          <w:lang w:val="el" w:eastAsia="el"/>
        </w:rPr>
      </w:pPr>
      <w:r>
        <w:rPr>
          <w:lang w:val="el" w:eastAsia="el"/>
        </w:rPr>
        <w:t>ΔΙΚΤΥΟ ΚΑΜΕΡΩΝ ΚΑΤΑΓΡΑΦΗΣ ΠΑΡΑΒΑΣΕΩΝ Κ.Ο.Κ.</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Συστήματα Καταγραφής Παραβάσεων του Κώδικα Οδικής Κυκλοφορίας με κάμερες και συστήματα τεχνητής νοημοσύνης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Εγκατάσταση και λειτουργία συστήματος οπτικών αισθητήρων ελέγχου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Εγκατάσταση και λειτουργία συστήματος οπτικών αισθητήρων ελέγχου από τις Περιφέρειες και τους Δήμους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Εγκατάσταση και λειτουργία συστήματος οπτικών αισθητήρων ελέγχου σε ισόπεδες διαβάσεις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Εγκατάσταση και λειτουργία καμερών από φορείς αστικών συγκοινωνιών</w:t>
      </w:r>
    </w:p>
    <w:p>
      <w:pPr>
        <w:pStyle w:val="Heading2"/>
        <w:spacing w:before="240" w:after="240"/>
        <w:rPr>
          <w:lang w:val="el" w:eastAsia="el"/>
        </w:rPr>
      </w:pPr>
      <w:r>
        <w:rPr>
          <w:lang w:val="el" w:eastAsia="el"/>
        </w:rPr>
        <w:t xml:space="preserve">ΚΕΦΑΛΑΙΟ Δ΄: </w:t>
      </w:r>
    </w:p>
    <w:p>
      <w:pPr>
        <w:pStyle w:val="Heading2"/>
        <w:spacing w:before="240" w:after="240"/>
        <w:rPr>
          <w:lang w:val="el" w:eastAsia="el"/>
        </w:rPr>
      </w:pPr>
      <w:r>
        <w:rPr>
          <w:lang w:val="el" w:eastAsia="el"/>
        </w:rPr>
        <w:t>ΔΙΑΔΙΚΑΣΙΑ ΨΗΦΙΑΚΗΣ ΒΕΒΑΙΩΣΗΣ ΤΡΟΧΟΝΟΜΙΚΩΝ ΠΑΡΑΒΑΣΕΩΝ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Βεβαίωση τροχονομικών παραβάσεων μέσω του Ενιαίου Ηλεκτρονικού Συστήματος καταγραφής και διαχείρισης παραβάσεων Κ.Ο.Κ. και προστίμων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Επίδοση Πράξης Βεβαίωσης Παράβασης μέσω του Ενιαίου Ηλεκτρονικού Συστήματος καταγραφής και διαχείρισης παραβάσεων Κ.Ο.Κ. και προστίμων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Ένσταση επί Πράξης Βεβαίωσης Παράβασης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Ψηφιακή αφαίρεση της άδειας οδήγησης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Καταγραφή Βαθμών Ποινής στο Σύστημα Ελέγχου Συμπεριφοράς Οδηγών</w:t>
      </w:r>
    </w:p>
    <w:p>
      <w:pPr>
        <w:pStyle w:val="Heading2"/>
        <w:spacing w:before="240" w:after="240"/>
        <w:rPr>
          <w:lang w:val="el" w:eastAsia="el"/>
        </w:rPr>
      </w:pPr>
      <w:r>
        <w:rPr>
          <w:lang w:val="el" w:eastAsia="el"/>
        </w:rPr>
        <w:t xml:space="preserve">ΚΕΦΑΛΑΙΟ Ε΄: </w:t>
      </w:r>
    </w:p>
    <w:p>
      <w:pPr>
        <w:pStyle w:val="Heading2"/>
        <w:spacing w:before="240" w:after="240"/>
        <w:rPr>
          <w:lang w:val="el" w:eastAsia="el"/>
        </w:rPr>
      </w:pPr>
      <w:r>
        <w:rPr>
          <w:lang w:val="el" w:eastAsia="el"/>
        </w:rPr>
        <w:t>ΖΗΤΗΜΑΤΑ ΠΡΟΣΤΑΣΙΑΣ ΔΕΔΟΜΕΝΩΝ ΠΡΟΣΩΠΙΚΟΥ ΧΑΡΑΚΤΗΡΑ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Ζητήματα προστασίας δεδομένων προσωπικού χαρακτήρα</w:t>
      </w:r>
    </w:p>
    <w:p>
      <w:pPr>
        <w:pStyle w:val="Heading2"/>
        <w:spacing w:before="240" w:after="240"/>
        <w:rPr>
          <w:lang w:val="el" w:eastAsia="el"/>
        </w:rPr>
      </w:pPr>
      <w:r>
        <w:rPr>
          <w:lang w:val="el" w:eastAsia="el"/>
        </w:rPr>
        <w:t xml:space="preserve">ΚΕΦΑΛΑΙΟ ΣΤ΄: </w:t>
      </w:r>
    </w:p>
    <w:p>
      <w:pPr>
        <w:pStyle w:val="Heading2"/>
        <w:spacing w:before="240" w:after="240"/>
        <w:rPr>
          <w:lang w:val="el" w:eastAsia="el"/>
        </w:rPr>
      </w:pPr>
      <w:r>
        <w:rPr>
          <w:lang w:val="el" w:eastAsia="el"/>
        </w:rPr>
        <w:t>ΟΔΙΚΗ ΥΠΗΡΕΣΙΑ ΣΥΣΤΗΜΑΤΩΝ ΕΠΟ- ΠΤΕΙΑΣ ΚΑΙ ΑΣΦΑΛΕΙΑΣ (ΟΔ.Υ.Σ.Ε.ΑΣ.)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Αρμοδιότητες της Οδικής Υπηρεσίας Συστημάτων Εποπτείας και Ασφάλειας - Τροποποίηση της παρ. 1, 5 και 6 άρθρου δεύτερου ν. 4388/2016</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Πόροι και διαχείριση δαπανών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Οργανωτική δομή</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Στελέχωση της Οδικής Υπηρεσίας Συστημάτων Εποπτείας και Ασφάλειας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Παρακολούθηση είσπραξης διοικητικών προστίμων από την Οδική Υπηρεσία Συστημάτων Επο- πτείας και Ασφάλειας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Διαδικασία είσπραξης προστίμων από παραβάσεις του Κ.Ο.Κ. - Τροποποίηση του άρθρου 107 και της παρ. 39 άρθρου 112 του Κ.Ο.Κ.</w:t>
      </w:r>
    </w:p>
    <w:p>
      <w:pPr>
        <w:pStyle w:val="Heading2"/>
        <w:spacing w:before="240" w:after="240"/>
        <w:rPr>
          <w:lang w:val="el" w:eastAsia="el"/>
        </w:rPr>
      </w:pPr>
      <w:r>
        <w:rPr>
          <w:lang w:val="el" w:eastAsia="el"/>
        </w:rPr>
        <w:t xml:space="preserve">ΚΕΦΑΛΑΙΟ Ζ΄: </w:t>
      </w:r>
    </w:p>
    <w:p>
      <w:pPr>
        <w:pStyle w:val="Heading2"/>
        <w:spacing w:before="240" w:after="240"/>
        <w:rPr>
          <w:lang w:val="el" w:eastAsia="el"/>
        </w:rPr>
      </w:pPr>
      <w:r>
        <w:rPr>
          <w:lang w:val="el" w:eastAsia="el"/>
        </w:rPr>
        <w:t>ΕΞΟΥΣΙΟΔΟΤΙΚΕΣ, ΤΕΛΙΚΕΣ, ΜΕΤΑΒΑΤΙ</w:t>
      </w:r>
    </w:p>
    <w:p>
      <w:pPr>
        <w:spacing w:before="240" w:after="240"/>
        <w:rPr>
          <w:lang w:val="el" w:eastAsia="el"/>
        </w:rPr>
      </w:pPr>
      <w:r>
        <w:rPr>
          <w:lang w:val="el" w:eastAsia="el"/>
        </w:rPr>
        <w:t>ΚΕΣ ΚΑΙ ΚΑΤΑΡΓΟΥΜΕΝΕΣ ΔΙΑΤΑΞΕΙΣ ΜΕΡΟΥΣ Α’</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Εξουσιοδοτικές διατάξεις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Τελικές διατάξεις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Μεταβατικές διατάξεις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Καταργούμενες διατάξεις</w:t>
      </w:r>
    </w:p>
    <w:p>
      <w:pPr>
        <w:pStyle w:val="Heading1"/>
        <w:spacing w:before="240" w:after="240"/>
        <w:rPr>
          <w:lang w:val="el" w:eastAsia="el"/>
        </w:rPr>
      </w:pPr>
      <w:r>
        <w:rPr>
          <w:lang w:val="el" w:eastAsia="el"/>
        </w:rPr>
        <w:t xml:space="preserve">ΜΕΡΟΣ Β΄ : </w:t>
      </w:r>
    </w:p>
    <w:p>
      <w:pPr>
        <w:pStyle w:val="Heading1"/>
        <w:spacing w:before="240" w:after="240"/>
        <w:rPr>
          <w:lang w:val="el" w:eastAsia="el"/>
        </w:rPr>
      </w:pPr>
      <w:r>
        <w:rPr>
          <w:lang w:val="el" w:eastAsia="el"/>
        </w:rPr>
        <w:t>ΔΙΑΤΑΞΕΙΣ ΓΙΑ ΤΗΝ ΕΝΙΣΧΥΣΗ ΤΗΣ ΔΙΑΣΤΗΜΙΚΗΣ ΠΟΛΙΤΙΚΗΣ, ΤΗΝ ΕΥΡΥΘΜΗ ΛΕΙΤΟΥΡΓΙΑ ΤΗΣ ΕΘΝΙΚΗΣ ΑΡΧΗΣ ΚΥΒΕΡΝΟΑΣΦΑΛΕΙΑΣ ΚΑΙ ΤΗΝ ΠΕΡΑΙΤΕΡΩ ΠΡΟΩΘΗΣΗ ΤΟΥ ΨΗΦΙΑΚΟΥ ΜΕΤΑΣΧΗΜΑΤΙΣΜΟΥ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Ζητήματα Κυβερνητικής Υπηρεσίας «Public Regulated Service» (PRS) και συμμετοχής στο Ευρωπαϊκό Πρόγραμμα Ασφαλών Δορυφορικών Κυβερνητικών Επικοινωνιών GOVSATCOM - Αρμόδιες Εθνικές Αρχές CPA (Com- σπαση, το οποίο λαμβάνει το σύνολο των αποδοχών και επιδομάτων της οργανικής του θέσης.</w:t>
      </w:r>
    </w:p>
    <w:p>
      <w:pPr>
        <w:pStyle w:val="MainText"/>
        <w:spacing w:before="120" w:after="0"/>
        <w:rPr>
          <w:lang w:val="el" w:eastAsia="el"/>
        </w:rPr>
      </w:pPr>
      <w:r>
        <w:rPr>
          <w:b/>
          <w:bCs/>
          <w:lang w:val="el" w:eastAsia="el"/>
        </w:rPr>
        <w:t>4.</w:t>
      </w:r>
      <w:r>
        <w:rPr>
          <w:lang w:val="el" w:eastAsia="el"/>
        </w:rPr>
        <w:t xml:space="preserve"> Οι υπάλληλοι της αυτοτελούς υπηρεσίας ΟΔ.Υ.Σ.Ε.ΑΣ. υπάγονται στα υπηρεσιακά και πειθαρχικά συμβούλια του Υπουργείου Υποδομών και Μεταφορών, με εξαίρεση το ένστολο προσωπικό της Ελληνικής Αστυνομίας για το οποίο εφαρμόζονται οι διατάξεις του π.δ. 120/2008 (Α’ 182), περί πειθαρχικού δικαίου του αστυνομικού προσωπικού.</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Παρακολούθηση είσπραξης διοικητικών προστίμων από την Οδική Υπηρεσία Συστημάτων Εποπτείας και Ασφάλειας</w:t>
      </w:r>
    </w:p>
    <w:p>
      <w:pPr>
        <w:pStyle w:val="MainText"/>
        <w:spacing w:before="120" w:after="0"/>
        <w:rPr>
          <w:lang w:val="el" w:eastAsia="el"/>
        </w:rPr>
      </w:pPr>
      <w:r>
        <w:rPr>
          <w:b/>
          <w:bCs/>
          <w:lang w:val="el" w:eastAsia="el"/>
        </w:rPr>
        <w:t>1.</w:t>
      </w:r>
      <w:r>
        <w:rPr>
          <w:lang w:val="el" w:eastAsia="el"/>
        </w:rPr>
        <w:t xml:space="preserve"> Η αυτοτελής υπηρεσία ΟΔ.Υ.Σ.Ε.ΑΣ. είναι αρμόδια για την παρακολούθηση της είσπραξης των διοικητικών προστίμων επί παραβάσεων του Κώδικα Οδικής Κυκλοφορίας, οι οποίες διαπιστώνονται μέσω αυτοματοποιημένων ηλεκτρονικών συστημάτων επιτήρησης και καταγραφής, ή διαπιστώνονται επ’ αυτοφώρω από τα αρμόδια όργανα ελέγχου και καταγράφονται μέσω των φορητών ηλεκτρονικών υπολογιστών και των συστημάτων τους και με κάθε άλλο πρόσφορο μέσο.</w:t>
      </w:r>
    </w:p>
    <w:p>
      <w:pPr>
        <w:pStyle w:val="MainText"/>
        <w:spacing w:before="120" w:after="0"/>
        <w:rPr>
          <w:lang w:val="el" w:eastAsia="el"/>
        </w:rPr>
      </w:pPr>
      <w:r>
        <w:rPr>
          <w:b/>
          <w:bCs/>
          <w:lang w:val="el" w:eastAsia="el"/>
        </w:rPr>
        <w:t>2.</w:t>
      </w:r>
      <w:r>
        <w:rPr>
          <w:lang w:val="el" w:eastAsia="el"/>
        </w:rPr>
        <w:t xml:space="preserve"> Αν τα πρόστιμα της παρ. 1 δεν καταβληθούν εντός αποκλειστικής προθεσμίας οκτώ (8) μηνών από την κοινοποίηση ή ανάρτηση της πράξης επιβολής, η αυτοτελής υπηρεσία ΟΔ.Υ.Σ.Ε.ΑΣ. αποστέλλει χρηματικό κατάλογο στην Ανεξάρτητη Αρχή Δημοσίων Εσόδων, σύμφωνα με το άρθρο 58 του ν. 5100/2024 (Α’ 49), περί έκδοσης και αποστολής εγγράφων διοικητικής εκτέλεσης μέσω υπηρεσίας διαλειτουργικότητας, σύμφωνα με τον Κώδικα Είσπραξης Δημοσίων Εσόδων (ν. 4978/2022, Α’ 190).</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Διαδικασία είσπραξης προστίμων από παραβάσεις του Κ.Ο.Κ. - Τροποποίηση</w:t>
      </w:r>
    </w:p>
    <w:p>
      <w:pPr>
        <w:spacing w:before="240" w:after="240"/>
        <w:rPr>
          <w:lang w:val="el" w:eastAsia="el"/>
        </w:rPr>
      </w:pPr>
      <w:r>
        <w:rPr>
          <w:b/>
          <w:bCs/>
          <w:lang w:val="el" w:eastAsia="el"/>
        </w:rPr>
        <w:t>άρθρου 107 και παρ. 39 άρθρου 112 του Κ.Ο.Κ.</w:t>
      </w:r>
    </w:p>
    <w:p>
      <w:pPr>
        <w:pStyle w:val="MainText"/>
        <w:spacing w:before="120" w:after="0"/>
        <w:rPr>
          <w:lang w:val="el" w:eastAsia="el"/>
        </w:rPr>
      </w:pPr>
      <w:r>
        <w:rPr>
          <w:b/>
          <w:bCs/>
          <w:lang w:val="el" w:eastAsia="el"/>
        </w:rPr>
        <w:t>1.</w:t>
      </w:r>
      <w:r>
        <w:rPr>
          <w:lang w:val="el" w:eastAsia="el"/>
        </w:rPr>
        <w:t xml:space="preserve"> Η παρ. 3 του άρθρου 107 του Κώδικα Οδικής Κυκλοφορίας (ν. 5209/2025, Α’ 100), περί της επιβολής διοικητικών προστίμων από αστυνομικά όργανα, αντικαθίσταται ως εξής:</w:t>
      </w:r>
    </w:p>
    <w:p>
      <w:pPr>
        <w:spacing w:before="240" w:after="240"/>
        <w:rPr>
          <w:lang w:val="el" w:eastAsia="el"/>
        </w:rPr>
      </w:pPr>
      <w:r>
        <w:rPr>
          <w:lang w:val="el" w:eastAsia="el"/>
        </w:rPr>
        <w:t>«3. Το πρόστιμο του τελευταίου εδαφίου της παρ. 2 καταβάλλεται χωρίς έκπτωση, εφόσον παρέλθει άπρακτη η ανωτέρω προθεσμία των δέκα (10) ημερών, σύμφωνα με τις διαδικασίες της παρ. 5».</w:t>
      </w:r>
    </w:p>
    <w:p>
      <w:pPr>
        <w:pStyle w:val="MainText"/>
        <w:spacing w:before="120" w:after="0"/>
        <w:rPr>
          <w:lang w:val="el" w:eastAsia="el"/>
        </w:rPr>
      </w:pPr>
      <w:r>
        <w:rPr>
          <w:b/>
          <w:bCs/>
          <w:lang w:val="el" w:eastAsia="el"/>
        </w:rPr>
        <w:t>2.</w:t>
      </w:r>
      <w:r>
        <w:rPr>
          <w:lang w:val="el" w:eastAsia="el"/>
        </w:rPr>
        <w:t xml:space="preserve"> Η παρ. 5 του άρθρου 107 του Κώδικα Οδικής Κυκλοφορίας, αντικαθίσταται ως εξής:</w:t>
      </w:r>
    </w:p>
    <w:p>
      <w:pPr>
        <w:spacing w:before="240" w:after="240"/>
        <w:rPr>
          <w:lang w:val="el" w:eastAsia="el"/>
        </w:rPr>
      </w:pPr>
      <w:r>
        <w:rPr>
          <w:lang w:val="el" w:eastAsia="el"/>
        </w:rPr>
        <w:t>«5 . Αν η παράβαση διαπιστώνεται επ’ αυτοφώρω σε επιτόπιο έλεγχο της παρ. 1 ή με ειδικές ηλεκτρονικές συσκευές της παρ. 4, το διοικητικό πρόστιμο καταβάλλεται ηλεκτρονικά σε κωδικό πληρωμής ή με άλλο πρόσφορο τρόπο, σύμφωνα με την απόφαση της περ. γ) της παρ. 39 του άρθρου 112, εντός προθεσμίας οκτώ (8) μηνών από την κοινοποίηση της σχετικής πράξης επιβολής του και εισπράττεται ως έσοδο σε διακριτό Αναλυτικό Λογαριασμό Εσόδου του Κρατικού Προϋπολογισμού με την ονομασία «Εθνικό Ταμείο Οδικής Ασφάλειας και Πρόστιμα για Παραβάσεις του Κ.Ο.Κ».</w:t>
      </w:r>
    </w:p>
    <w:p>
      <w:pPr>
        <w:spacing w:before="240" w:after="240"/>
        <w:rPr>
          <w:lang w:val="el" w:eastAsia="el"/>
        </w:rPr>
      </w:pPr>
      <w:r>
        <w:rPr>
          <w:lang w:val="el" w:eastAsia="el"/>
        </w:rPr>
        <w:t>Βάσει του ύψους των εισπραττόμενων προστίμων του προηγούμενου εδαφίου, εγγράφονται αντίστοιχες πιστώσεις, κατά τη διάρκεια του οικονομικού έτους, σύμφωνα με το άρθρο 74 του ν. 4270/2014 (Α’ 143), οι οποίες αποδίδονται:</w:t>
      </w:r>
    </w:p>
    <w:p>
      <w:pPr>
        <w:spacing w:before="240" w:after="240"/>
        <w:rPr>
          <w:lang w:val="el" w:eastAsia="el"/>
        </w:rPr>
      </w:pPr>
      <w:r>
        <w:rPr>
          <w:lang w:val="el" w:eastAsia="el"/>
        </w:rPr>
        <w:t>α) στους δικαιούχους δήμους μέσω του Υπουργείου Εσωτερικών, ιδίως για χρηματοδότηση έργων οδικής ασφάλειας, σε ποσοστό: αα) εκατό τοις εκατό (100%) επί των εισπραττόμενων προστίμων για παραβάσεις που διαπιστώνονται επ’ αυτοφώρω από τα αρμόδια όργανα ελέγχου, αβ) είκοσι πέντε τοις εκατό (25%) επί των εισπραττόμενων προστίμων για παραβάσεις που διαπιστώνονται από συστήματα σταθερών ή φορητών αισθητήρων ελέγχου (καμερών) που εγκαθιστούν φορείς πλην των δήμων, αγ) εβδομήντα πέντε τοις εκατό (75%) επί των εισπραττόμενων προστίμων για παραβάσεις που διαπιστώνονται από συστήματα σταθερών ή φορητών αισθητήρων ελέγχου που εγκαθιστούν οι ίδιοι,</w:t>
      </w:r>
    </w:p>
    <w:p>
      <w:pPr>
        <w:spacing w:before="240" w:after="240"/>
        <w:rPr>
          <w:lang w:val="el" w:eastAsia="el"/>
        </w:rPr>
      </w:pPr>
      <w:r>
        <w:rPr>
          <w:lang w:val="el" w:eastAsia="el"/>
        </w:rPr>
        <w:t>β) στην αυτοτελή υπηρεσία ΟΔ.Υ.Σ.Ε.ΑΣ. σε ποσοστό δεκαπέντε τοις εκατό (15%) επί των εισπραττόμενων προστίμων για παραβάσεις που διαπιστώνονται από συστήματα σταθερών ή φορητών αισθητήρων ελέγχου (καμερών) και διατίθενται:</w:t>
      </w:r>
    </w:p>
    <w:p>
      <w:pPr>
        <w:spacing w:before="240" w:after="240"/>
        <w:rPr>
          <w:lang w:val="el" w:eastAsia="el"/>
        </w:rPr>
      </w:pPr>
      <w:r>
        <w:rPr>
          <w:lang w:val="el" w:eastAsia="el"/>
        </w:rPr>
        <w:t>i) για τη χρηματοδότηση του έργου προμήθειας και εγκατάστασης, λειτουργίας και συντήρησης του δικτύου καμερών καταγραφής παραβάσεων, μέσω εγγραφής ισόποσης πίστωσης στον προϋπολογισμό δημοσίων επενδύσεων του Υπουργείου Υποδομών και Μεταφορών, καθ’ υπέρβαση του ετήσιου ανώτατου ορίου πιστώσεων του εθνικού σκέλους του Αναπτυξιακού Προγράμματος Δημοσίων Επενδύσεων (Α.Π.Δ.Ε.),</w:t>
      </w:r>
    </w:p>
    <w:p>
      <w:pPr>
        <w:spacing w:before="240" w:after="240"/>
        <w:rPr>
          <w:lang w:val="el" w:eastAsia="el"/>
        </w:rPr>
      </w:pPr>
      <w:r>
        <w:rPr>
          <w:lang w:val="el" w:eastAsia="el"/>
        </w:rPr>
        <w:t>ii) για δράσεις οδικής ασφάλειας,</w:t>
      </w:r>
    </w:p>
    <w:p>
      <w:pPr>
        <w:spacing w:before="240" w:after="240"/>
        <w:rPr>
          <w:lang w:val="el" w:eastAsia="el"/>
        </w:rPr>
      </w:pPr>
      <w:r>
        <w:rPr>
          <w:lang w:val="el" w:eastAsia="el"/>
        </w:rPr>
        <w:t>iii) για την κάλυψη λειτουργικών δαπανών,</w:t>
      </w:r>
    </w:p>
    <w:p>
      <w:pPr>
        <w:spacing w:before="240" w:after="240"/>
        <w:rPr>
          <w:lang w:val="el" w:eastAsia="el"/>
        </w:rPr>
      </w:pPr>
      <w:r>
        <w:rPr>
          <w:lang w:val="el" w:eastAsia="el"/>
        </w:rPr>
        <w:t>γ) στον Τομέα Πρόνοιας Αστυνομικών (Τ.Π.ΑΣ.) σε ποσοστό δύο τοις εκατό (2%) και στον Τομέα Πρόνοιας Υπαλλήλων Αστυνομίας Πόλεων (Τ.Π.Υ.Α.Π.) σε ποσοστό δύο τοις εκατό (2%) του Ταμείου Πρόνοιας Απασχολούμενων στα Σώματα Ασφαλείας (ΤΑ.Π.Α.Σ.Α.), καθώς και στο Μετοχικό Ταμείο Στρατού (Μ.Τ.Σ.) σε ποσοστό ένα τοις εκατό (1%) επί των εισπραττόμενων προστίμων για παραβάσεις που διαπιστώνονται από τα συστήματα σταθερών ή φορητών αισθητήρων ελέγχου (καμερών) και δ) υπέρ των φορέων, πλην εκείνων της περ. α), οι οποίοι εγκαθιστούν συστήματα σταθερών ή φορητών οπτικών αισθητήρων ελέγχου (καμερών) σε ποσοστό πενήντα τοις εκατό (50%) επί των εισπραττόμενων προστίμων για παραβάσεις που διαπιστώνονται από συστήματα σταθερών ή φορητών αισθητήρων ελέγχου (καμερών) που εγκαθιστούν οι ίδιοι,</w:t>
      </w:r>
    </w:p>
    <w:p>
      <w:pPr>
        <w:spacing w:before="240" w:after="240"/>
        <w:rPr>
          <w:lang w:val="el" w:eastAsia="el"/>
        </w:rPr>
      </w:pPr>
      <w:r>
        <w:rPr>
          <w:lang w:val="el" w:eastAsia="el"/>
        </w:rPr>
        <w:t>ε) παρακρατείται ποσοστό πέντε τοις εκατό (5%) επί των εισπραττόμενων προστίμων για παραβάσεις που διαπιστώνονται από συστήματα σταθερών ή φορητών αισθητήρων ελέγχου (καμερών), ως έξοδο βεβαίωσης και είσπραξης.</w:t>
      </w:r>
    </w:p>
    <w:p>
      <w:pPr>
        <w:spacing w:before="240" w:after="240"/>
        <w:rPr>
          <w:lang w:val="el" w:eastAsia="el"/>
        </w:rPr>
      </w:pPr>
      <w:r>
        <w:rPr>
          <w:lang w:val="el" w:eastAsia="el"/>
        </w:rPr>
        <w:t>Η απόδοση των πιστώσεων στους δικαιούχους Οργανισμούς Τοπικής Αυτοδιοίκησης πραγματοποιείται το αργότερο εντός ενός (1) μηνός από την είσπραξη των προστίμων».</w:t>
      </w:r>
    </w:p>
    <w:p>
      <w:pPr>
        <w:pStyle w:val="MainText"/>
        <w:spacing w:before="120" w:after="0"/>
        <w:rPr>
          <w:lang w:val="el" w:eastAsia="el"/>
        </w:rPr>
      </w:pPr>
      <w:r>
        <w:rPr>
          <w:b/>
          <w:bCs/>
          <w:lang w:val="el" w:eastAsia="el"/>
        </w:rPr>
        <w:t>3.</w:t>
      </w:r>
      <w:r>
        <w:rPr>
          <w:lang w:val="el" w:eastAsia="el"/>
        </w:rPr>
        <w:t xml:space="preserve"> Στην παρ. 6 του άρθρου 107 του Κώδικα Οδικής Κυκλοφορίας, στο όγδοο εδάφιο, οι λέξεις «η παρ. 3» αντικαθίστανται από τις λέξεις «η παρ. 5» και η παρ. 6 διαμορφώνεται ως εξής:</w:t>
      </w:r>
    </w:p>
    <w:p>
      <w:pPr>
        <w:pStyle w:val="StructureList1"/>
        <w:spacing w:before="120" w:after="0"/>
        <w:rPr>
          <w:lang w:val="el" w:eastAsia="el"/>
        </w:rPr>
      </w:pPr>
      <w:r>
        <w:rPr>
          <w:lang w:val="el" w:eastAsia="el"/>
        </w:rPr>
        <w:t>β)</w:t>
      </w:r>
      <w:r>
        <w:rPr>
          <w:lang w:val="en" w:eastAsia="en"/>
        </w:rPr>
        <w:tab/>
      </w:r>
      <w:r>
        <w:rPr>
          <w:lang w:val="el" w:eastAsia="el"/>
        </w:rPr>
        <w:t>Στην περίπτωση καταδίκης σε ποινή κάθειρξης για κακούργημα του παρόντος, η άσκηση έφεσης δεν έχει αναστέλλουσα ισχύ.</w:t>
      </w:r>
    </w:p>
    <w:p>
      <w:pPr>
        <w:pStyle w:val="MainText"/>
        <w:spacing w:before="120" w:after="0"/>
        <w:rPr>
          <w:lang w:val="el" w:eastAsia="el"/>
        </w:rPr>
      </w:pPr>
      <w:r>
        <w:rPr>
          <w:b/>
          <w:bCs/>
          <w:lang w:val="el" w:eastAsia="el"/>
        </w:rPr>
        <w:t>5.</w:t>
      </w:r>
      <w:r>
        <w:rPr>
          <w:lang w:val="el" w:eastAsia="el"/>
        </w:rPr>
        <w:t xml:space="preserve"> Η τέλεση των αδικημάτων της παρ. 1 του άρθρου 330, του άρθρου 380, του άρθρου 385 του Ποινικού Κώδικα (ν. 4619/2019, Α’ 95) ή των άρθρων 1 και 2 του ν. 1300/1982 (Α’ 129), περί ζωοκλοπής, ιχθυοκλοπής, ζωοκτονίας, ιχθυοκτονίας και των διακεκριμένων περι- πτώσεών τους, από δράστη που φέρει ή χρησιμοποιεί, κατά την τέλεσή τους ή προς τον σκοπό διαφυγής του, όπλο κατά την έννοια της παρ. 1 του άρθρου 1 συνιστά ιδιαίτερα επιβαρυντική περίσταση και η επιβαλλόμενη στερητική της ελευθερίας ποινή επαυξάνεται κατά ένα (1) έτος ως προς το κατώτερο όριό της».</w:t>
      </w:r>
    </w:p>
    <w:p>
      <w:pPr>
        <w:pStyle w:val="MainText"/>
        <w:spacing w:before="120" w:after="0"/>
        <w:rPr>
          <w:lang w:val="el" w:eastAsia="el"/>
        </w:rPr>
      </w:pPr>
      <w:r>
        <w:rPr>
          <w:b/>
          <w:bCs/>
          <w:lang w:val="el" w:eastAsia="el"/>
        </w:rPr>
        <w:t>7.</w:t>
      </w:r>
      <w:r>
        <w:rPr>
          <w:lang w:val="el" w:eastAsia="el"/>
        </w:rPr>
        <w:t xml:space="preserve"> Στο άρθρο 29 του ν. 2168/1993, περί μεταβατικών διατάξεων, προστίθεται παρ. 5 ως εξής:</w:t>
      </w:r>
    </w:p>
    <w:p>
      <w:pPr>
        <w:spacing w:before="240" w:after="240"/>
        <w:rPr>
          <w:lang w:val="el" w:eastAsia="el"/>
        </w:rPr>
      </w:pPr>
      <w:r>
        <w:rPr>
          <w:lang w:val="el" w:eastAsia="el"/>
        </w:rPr>
        <w:t>«5. Όποιος κατέχει παράνομα όπλα κατά την έννοια της περ. β΄ της παρ. 1 και της παρ. 3 του άρθρου 1 παραμένει ατιμώρητος για την πράξη της οπλοκατοχής αν, με δική του θέληση και πριν εξεταστεί με οιονδήποτε τρόπο για την ανωτέρω πράξη, τα παραδώσει στην αρμόδια αστυνομική Αρχή, εντός τεσσάρων (4) μηνών από την έναρξη ισχύος της παρούσας. Τα παραδιδόμενα όπλα, με μέριμνα της αρμόδιας αστυνομικής Αρχής, μεταφέρονται άμεσα στην αρμόδια υπηρεσία εγκληματολογικών ερευνών, προκειμένου να εκδοθεί Βεβαίωση Εργαστηριακού Ελέγχου περί του ότι αυτά δεν έχουν χρησιμοποιηθεί σε εγκληματική ενέργεια. Αν διαπιστωθεί ότι δεν έχουν χρησιμοποιηθεί σε εγκληματική ενέργεια, τα όπλα επιστρέφονται στους κατόχους τους, εφόσον εφοδιασθούν, εντός τεσσάρων (4) μηνών από την παράδοση, με άδεια κατοχής, σύμφωνα με τις προϋποθέσεις του παρόντος νόμου. Όσα δεν επιστρέφονται, περιέρχονται κατά κυριότητα στο Δημόσιο και παραδίδονται από την οικεία αστυνομική Αρχή στην αρμόδια υπηρεσία του Υπουργείου Εθνικής Άμυνας. Η δικογραφία που σχηματίζεται μετά την παράδοση αναφορικά με το αδίκημα της οπλοκατοχής, και εφόσον τα όπλα δεν έχουν χρησιμοποιηθεί σε εγκληματική ενέργεια, τίθεται στο αρχείο με πράξη του αρμόδιου Εισαγγελέα. Αν διαπιστωθεί ότι το όπλο έχει χρησιμοποιηθεί σε εγκληματική ενέργεια, αυτό κατάσχεται από την υπηρεσία αποστολής του, σύμφωνα με το άρθρο 16 και ενημερώνεται άμεσα ο αρμόδιος Εισαγγελέας, για την περαιτέρω διερεύνηση της υπόθεσης».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Η ισχύς του Κεφαλαίου Δ΄ του Μέρους Α’ αρχίζει με την έκδοση της κοινής απόφασης της παρ. 8 του άρθρου 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Δεκεμβρίου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65"/>
        <w:gridCol w:w="60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Προστασίας του Πολίτη</w:t>
            </w:r>
          </w:p>
          <w:p>
            <w:pPr>
              <w:spacing w:before="240" w:after="240"/>
              <w:rPr>
                <w:b w:val="0"/>
                <w:bCs w:val="0"/>
                <w:i w:val="0"/>
                <w:iCs w:val="0"/>
                <w:smallCaps w:val="0"/>
                <w:color w:val="000000"/>
                <w:lang w:val="el" w:eastAsia="el"/>
              </w:rPr>
            </w:pPr>
            <w:r>
              <w:rPr>
                <w:b/>
                <w:bCs/>
                <w:i w:val="0"/>
                <w:iCs w:val="0"/>
                <w:smallCaps w:val="0"/>
                <w:color w:val="000000"/>
                <w:lang w:val="el" w:eastAsia="el"/>
              </w:rPr>
              <w:t>ΣΠΥΡΙΔΩΝ - ΑΔΩΝΙΣ ΓΕΩΡΓΙΑΔΗΣ ΜΙΧΑΗΛ ΧΡΥΣΟΧΟΪΔΗΣ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Περιβάλλοντος και Ενέργειας</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 ΚΥΡΑΝΑΚΗΣ ΣΤΑΥΡΟΣ Ν. ΠΑΠΑΣΤΑΥΡΟΥ</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 Δικαιοσύνης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 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Ψηφιακής Διακυβέρνησης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 ΙΩΑΝΝΗΣ ΚΕΦΑΛΟΓΙΑΝΝΗΣ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Δεκεμβρίου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