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115</w:t>
      </w:r>
    </w:p>
    <w:p>
      <w:pPr>
        <w:pStyle w:val="PreambelText"/>
        <w:spacing w:before="240" w:after="240"/>
        <w:rPr>
          <w:lang w:val="el" w:eastAsia="el"/>
        </w:rPr>
      </w:pPr>
      <w:r>
        <w:rPr>
          <w:lang w:val="el" w:eastAsia="el"/>
        </w:rPr>
        <w:t>9 Ιουνίου 2006</w:t>
      </w:r>
    </w:p>
    <w:p>
      <w:pPr>
        <w:pStyle w:val="enacting"/>
        <w:spacing w:before="120" w:after="0"/>
        <w:rPr>
          <w:lang w:val="el" w:eastAsia="el"/>
        </w:rPr>
      </w:pPr>
      <w:r>
        <w:rPr>
          <w:lang w:val="el" w:eastAsia="el"/>
        </w:rPr>
        <w:t>ΠΡΟΕΔΡΙΚΟ ΔΙΑΤΑΓΜΑ ΥΠ’ ΑΡΙΘΜ. 116</w:t>
      </w:r>
    </w:p>
    <w:p>
      <w:pPr>
        <w:pStyle w:val="PreambelText"/>
        <w:spacing w:before="240" w:after="240"/>
        <w:rPr>
          <w:lang w:val="el" w:eastAsia="el"/>
        </w:rPr>
      </w:pPr>
      <w:r>
        <w:rPr>
          <w:lang w:val="el" w:eastAsia="el"/>
        </w:rPr>
        <w:t>Τροποποίηση του άρθρου 28 του π.δ. 50/2001 «Καθορισμός των προσόντων διορισμού σε θέσεις φορέων του δημόσιου τομέα».</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21 παρ. 6 του ν. 2738/1999 «Συλλογικές διαπραγματεύσεις στη διοίκηση, μονιμοποιήσεις συμβασιούχων αορίστου χρόνου και άλλες διατάξεις» (ΦΕΚ 180 Α΄).</w:t>
      </w:r>
    </w:p>
    <w:p>
      <w:pPr>
        <w:pStyle w:val="StructureList1"/>
        <w:spacing w:before="120" w:after="0"/>
        <w:rPr>
          <w:lang w:val="el" w:eastAsia="el"/>
        </w:rPr>
      </w:pPr>
      <w:r>
        <w:rPr>
          <w:lang w:val="el" w:eastAsia="el"/>
        </w:rPr>
        <w:t>β)</w:t>
      </w:r>
      <w:r>
        <w:rPr>
          <w:lang w:val="en" w:eastAsia="en"/>
        </w:rPr>
        <w:tab/>
      </w:r>
      <w:r>
        <w:rPr>
          <w:lang w:val="el" w:eastAsia="el"/>
        </w:rPr>
        <w:t>Του άρθρου 90 του π.δ. 63/2005 (ΦΕΚ 98 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2.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3. Την υπ’ αριθμ. 139/2006 γνωμοδότηση του Συμβουλίου της Επικρατείας, μετά από πρόταση του Υπουργού Εσωτερικών, Δημόσιας Διοίκησης και Αποκέντρωσης, 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Το πρώτο εδάφιο της περίπτωσης Α της παρ. 2 του άρθρου 28 του π.δ. 50/2001 (ΦΕΚ 39 Α΄) και η παρ. 3 του αυτού άρθρου, όπως αυτό αντικαταστάθηκε με την παρ. 19 του άρθρου μόνου του π.δ. 347/2003 (ΦΕΚ 314 Α), αντικαθίστανται, ως εξής:</w:t>
      </w:r>
    </w:p>
    <w:p>
      <w:pPr>
        <w:spacing w:before="240" w:after="240"/>
        <w:rPr>
          <w:lang w:val="el" w:eastAsia="el"/>
        </w:rPr>
      </w:pPr>
      <w:r>
        <w:rPr>
          <w:lang w:val="el" w:eastAsia="el"/>
        </w:rPr>
        <w:t>«Α. Για την Αγγλική γλώσσα:</w:t>
      </w:r>
    </w:p>
    <w:p>
      <w:pPr>
        <w:spacing w:before="240" w:after="240"/>
        <w:rPr>
          <w:lang w:val="el" w:eastAsia="el"/>
        </w:rPr>
      </w:pPr>
      <w:r>
        <w:rPr>
          <w:lang w:val="el" w:eastAsia="el"/>
        </w:rPr>
        <w:t>ι) Πιστοποιητικό PROFICIENCY των πανεπιστημίων Cambridge ή Michigan ή πιστοποιητικά αντίστοιχου επιπέδου άλλων πανεπιστημίων δημόσιου χαρακτήρα, εφόσον τα τελευταία αυτά έχουν τμήμα ή σχολή αγγλικής φιλολογίας ή γλώσσας και είναι πιστοποιημένα ή αναγνωρισμένα από αρμόδιο φορέα της οικείας χώρας για να διενεργούν εξετάσεις και να χορηγούν πιστοποιητικά γνώσης της αγγλικής γλώσσας σε άριστο επίπεδο ή συνεργάζονται για τη διενέργεια των εξετάσεων και την έκδοση των πιστοποιητικών αυτών με φορέα που είναι πιστοποιημένος ή αναγνωρισμένος σύμφωνα με τα ανωτέρω. Αν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σε τρίτους, οι οποίοι δεν έχουν ως μητρική γλώσσα την αγγλική, από πανεπιστήμια δημόσιου χαρακτήρα είναι αποδεκτά σε δημόσιες υπηρεσίες της αυτής χώρας ως έγκυρα αποδεικτικά γνώσης της αγγλικής γλώσσας σε άριστο επίπεδο. Ως οικεία χώρα νοείται χώρα, στην οποία μητρική ή επίσημη γλώσσα είναι η αγγλική».</w:t>
      </w:r>
    </w:p>
    <w:p>
      <w:pPr>
        <w:spacing w:before="240" w:after="240"/>
        <w:rPr>
          <w:lang w:val="el" w:eastAsia="el"/>
        </w:rPr>
      </w:pPr>
      <w:r>
        <w:rPr>
          <w:lang w:val="el" w:eastAsia="el"/>
        </w:rPr>
        <w:t>«3. Όπου ως τυπικό προσόν για τον διορισμό προβλέπε- ται γνώση ξένης γλώσσας σε επίπεδο πολύ καλής γνώσης ή καλής γνώσης ή μέτριας γνώσης, η απόδειξη της γνώσης αυτής γίνεται με κρατικό πιστοποιητικό γλωσσομάθειας επιπέδου Γ1, Β2 και Β1 αντίστοιχα, κατά τα οριζόμενα στην παρ. 2 του άρθρου 1 του ν. 2740/1999 (ΦΕΚ 186 Α΄), όπως αντικαταστάθηκε με την παρ. 19 περ. α΄ του άρθρου 13 του ν. 3149/2003 (ΦΕΚ 141 Α΄), καθώς και με τίτλους ή πιστοποιητικά τα οποία χορηγούνται από φορείς που πιστοποιούνται από τον αρμόδιο φορέα πιστοποίησης γλωσσομάθειας του Υπουργείου Εθνικής Παιδείας και Θρησκευμάτων. Επίσης η καλή γνώση ξένης γλώσσας αποδεικνύεται και με απολυτήριο τίτλο ή πτυχίο σχολείου της αλλοδαπής δευτεροβάθμιας ή μεταδευτεροβάθμιας εκπαίδευσης τριετούς τουλάχιστον φοίτησης.</w:t>
      </w:r>
    </w:p>
    <w:p>
      <w:pPr>
        <w:spacing w:before="240" w:after="240"/>
        <w:rPr>
          <w:lang w:val="el" w:eastAsia="el"/>
        </w:rPr>
      </w:pPr>
      <w:r>
        <w:rPr>
          <w:lang w:val="el" w:eastAsia="el"/>
        </w:rPr>
        <w:t>Μεταβατικά και μέχρι τον καθορισμό των πιστοποιημένων φορέων από την αρμόδια υπηρεσία πιστοποίησης γλωσσομάθειας του Υπουργείου Εθνικής Παιδείας και Θρησκευμάτων, η απόδειξη της πολύ καλής ή καλής ή μέτριας γνώσης ξένης γλώσσας γίνεται με πιστοποιητικό αντίστοιχου επιπέδου (πολύ καλής, καλής, μέτριας γνώσης της ξένης γλώσσας) από φορείς που χορηγούν τα προβλεπόμενα στις περιπτώσεις Α, Β, Γ, και Δ της παρ. 2 του παρόντος άρθρου πιστοποιητικά».</w:t>
      </w:r>
    </w:p>
    <w:p>
      <w:pPr>
        <w:pStyle w:val="MainText"/>
        <w:spacing w:before="120" w:after="0"/>
        <w:rPr>
          <w:lang w:val="el" w:eastAsia="el"/>
        </w:rPr>
      </w:pPr>
      <w:r>
        <w:rPr>
          <w:b/>
          <w:bCs/>
          <w:lang w:val="el" w:eastAsia="el"/>
        </w:rPr>
        <w:t>2.</w:t>
      </w:r>
      <w:r>
        <w:rPr>
          <w:lang w:val="el" w:eastAsia="el"/>
        </w:rPr>
        <w:t xml:space="preserve"> Πιστοποιητικά φορέων, τα οποία ως τη δημοσίευση του παρόντος έχουν γίνει αποδεκτά από το ΑΣΕΠ ως αποδεικτικά γνώσης ξένης γλώσσας σε οποιοδήποτε επίπεδο, δεν θίγονται.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Εσωτερικών, Δημόσιας Διοίκησης και Αποκέντρωσης αναθέτουμε τη δημοσίευση και εκτέλεση του παρόντος.</w:t>
      </w:r>
    </w:p>
    <w:p>
      <w:pPr>
        <w:spacing w:before="240" w:after="240"/>
        <w:rPr>
          <w:lang w:val="el" w:eastAsia="el"/>
        </w:rPr>
      </w:pPr>
      <w:r>
        <w:rPr>
          <w:lang w:val="el" w:eastAsia="el"/>
        </w:rPr>
        <w:t>Αθήνα, 8 Ιουνίου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ΥΠΟΥΡΓΟΣΕΣΩΤΕΡΙΚΩΝ, ΔΗΜΟΣΙΑΣ ΔΙΟΙΚΗΣΗΣ ΚΑΙ ΑΠΟΚΕΝΤΡΩΣΗΣ</w:t>
      </w:r>
    </w:p>
    <w:p>
      <w:pPr>
        <w:spacing w:before="240" w:after="240"/>
        <w:rPr>
          <w:lang w:val="el" w:eastAsia="el"/>
        </w:rPr>
      </w:pPr>
      <w:r>
        <w:rPr>
          <w:b/>
          <w:bCs/>
          <w:lang w:val="el" w:eastAsia="el"/>
        </w:rPr>
        <w:t>ΠΡΟΚΟΠΙΟΣ ΠΑΥΛΟΠΟΥΛΟΣ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5"/>
        <w:gridCol w:w="1543"/>
        <w:gridCol w:w="3421"/>
        <w:gridCol w:w="1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0ΕΣΣΑΑΟΝΙΚΗ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ΠΩΑΗΣΗΣ ΦΥΑΑΩΝ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ΕΜΒΟ Τεύχος Περίοδος ΕΜΒΟ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379"/>
        <w:gridCol w:w="744"/>
        <w:gridCol w:w="4108"/>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w:t>
      </w:r>
    </w:p>
    <w:p>
      <w:pPr>
        <w:spacing w:before="240" w:after="240"/>
        <w:rPr>
          <w:lang w:val="el" w:eastAsia="el"/>
        </w:rPr>
      </w:pPr>
      <w:r>
        <w:rPr>
          <w:lang w:val="el" w:eastAsia="el"/>
        </w:rPr>
        <w:t>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ΠΑΡΑΓΓΕΑΙΑ ΚΑΙ ΑΠΟΣΤΟΑΗ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Το τεύχος του ΑΣΕΠ (έντυπη μορφή) θα αποστέλλεται σε συνδρομητές </w:t>
            </w:r>
            <w:r>
              <w:rPr>
                <w:b w:val="0"/>
                <w:bCs w:val="0"/>
                <w:i/>
                <w:iCs/>
                <w:smallCaps w:val="0"/>
                <w:color w:val="000000"/>
                <w:lang w:val="el" w:eastAsia="el"/>
              </w:rPr>
              <w:t>με</w:t>
            </w:r>
            <w:r>
              <w:rPr>
                <w:b w:val="0"/>
                <w:bCs w:val="0"/>
                <w:i w:val="0"/>
                <w:iCs w:val="0"/>
                <w:smallCaps w:val="0"/>
                <w:color w:val="000000"/>
                <w:lang w:val="el" w:eastAsia="el"/>
              </w:rPr>
              <w:t xml:space="preserve">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Συμβάσεων, Δελτίο Εμπορικής και Βιομηχανικής Ιδιοκτησίας Διακηρύξεων, Δημοσίων Συμβάσεων και Α.Ε. &amp; Ε.Π.Ε., η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Φωτοαντίγραφα παλαιών ΦΕΚ - ΒΙΒΑΙΟ0ΗΚΗ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w:t>
      </w:r>
    </w:p>
    <w:p>
      <w:pPr>
        <w:spacing w:before="240" w:after="240"/>
        <w:rPr>
          <w:lang w:val="el" w:eastAsia="el"/>
        </w:rPr>
      </w:pPr>
      <w:r>
        <w:rPr>
          <w:b/>
          <w:bCs/>
          <w:lang w:val="el" w:eastAsia="el"/>
        </w:rPr>
        <w:t>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