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19 Ιανουαρίου 2011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ΠΡΟΕΔΡΙΚΟ ΔΙΑΤΑΓΜΑ ΥΠ’ ΑΡΙΘ. 2</w:t>
      </w:r>
      <w:r>
        <w:rPr>
          <w:lang w:val="el" w:eastAsia="el"/>
        </w:rPr>
        <w:br/>
      </w:r>
      <w:r>
        <w:rPr>
          <w:lang w:val="el" w:eastAsia="el"/>
        </w:rPr>
        <w:t>Μετατροπή του Πολιτικού Γραφείου Πρωθυπουργούσε Γενική Γραμματεία Πρωθυπουργού.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Ο ΠΡΟΕΔΡΟΣΤΗΣ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1)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82 παρ. 2 του Συντάγματος.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7 παρ. 3 και 4, 13 παρ. 1, 2 και 3 και 24 παρ. 4 του ν.1558/1985 «Κυβέρνηση και Κυβερνητικά Όργανα» (Α΄ 137).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Α΄ 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αριθ. Υ293/15.12.2010 απόφασης του Πρωθυπουργού «Αναδιάρθρωση και σύνθεση σε προσωπικό του Πολιτικού Γραφείου Πρωθυπουργού» (Β΄ 1985).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2) Το γεγονός ότι από τις διατάξεις του παρόντος προκαλείται σε βάρος του κρατικού προϋπολογισμού (Φορέας 23650-ΚΑΕ 0200) δαπάνη ύψους εβδομήντα χιλιάδων διακοσίων εβδομήντα δύο ευρώ και ενενήντα έξι λεπτών (70.272,96€) τόσο για το οικονομικό έτος 2011 όσο και κάθε ένα από τα επόμενα οικονομικά έτη, η οποία θα καλυφθεί από τις πιστώσεις που θα εγγράφονται στον προϋπολογισμό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3) Την αριθ. 1/2011 γνωμοδότηση του Συμβουλίου της Επικρατείας, μετά από πρόταση του Πρωθυπουργού και του Υπουργού Οικονομικών,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Σύσταση Γενικής Γραμματείας Πρωθυπουργού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αυτοτελής δημόσια υπηρεσία με τον τίτλο «Πολιτικό Γραφείο Πρωθυπουργού», η οποία έχει αναδιαρθρωθεί με την αριθ. Υ293/15.12.2010 απόφαση του Πρωθυπουργού (Β΄ 1985), μετατρέπεται σε Γενική Γραμματεία και μετονομάζεται σε «Γενική Γραμματεία Πρωθυπουργού». Στη Γενική Γραμματεία Πρωθυπουργού μεταφέρονται, ως σύνολο, οι αρμοδιότητες, οι θέσεις και το προσωπικό του Πολιτικού Γραφείου Πρωθυπουργού.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Όπου στην κείμενη νομοθεσία αναφέρεται ο όρος «Πολιτικό Γραφείο Πρωθυπουργού», νοείται στο εξής «Γενική Γραμματεία Πρωθυπουργού».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Στη Γενική Γραμματεία Πρωθυπουργού συνιστάται θέση μετακλητού Γενικού Γραμματέα με βαθμό 1 της Κατηγορίας των Ειδικών Θέσεων.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Αρμοδιότητες Γενικού Γραμματέα Πρωθυπουργού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Γενικός Γραμματέας Πρωθυπουργού έχει τις εξής αρμοδιότητες: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Είναι ο άμεσος βοηθός του Πρωθυπουργού σε θέματα αρμοδιοτήτων της Γενικής Γραμματείας Πρωθυπουργού.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Προΐσταται των Μονάδων και Γραφείων της Γενικής Γραμματείας Πρωθυπουργού και μεριμνά για την εκτέλεση των εντολών του Πρωθυπουργού που αφορούν τις υπηρεσίες αυτές.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Ασκεί κάθε άλλη αρμοδιότητα που σύμφωνα με το νόμο ασκεί ο Προϊστάμενος Γενικής Γραμματείας υπαγόμενης σε Υπουργείο.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του παρόντος αρχίζει από την 1.2.2011.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Πρωθυπουργό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19 Ιανουαρίου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ΠΡΩΘΥΠΟΥΡΓΟΣ</w:t>
      </w:r>
      <w:r>
        <w:rPr>
          <w:b/>
          <w:bCs/>
          <w:lang w:val="el" w:eastAsia="el"/>
        </w:rPr>
        <w:t>ΓΕΩΡΓΙΟΣ Α. ΠΑΠΑΝΔΡΕΟΥ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ΠΑΠΑΚΩΝΣΤΑΝΤΙΝΟΥ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ΠΕΡΙΦΕΡΕΙΑΚΑ ΓΡΑΦΕΙΑ ΠΩΑΗΣΗΣ Φ.E.K.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3"/>
        <w:gridCol w:w="1455"/>
        <w:gridCol w:w="3578"/>
        <w:gridCol w:w="13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0ΕΣΣΑΑΟΝΙΚΗ -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Βασ. Όλγας 227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23104 23956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ΚΟΜΟΤΗΝΗ -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Δημοκρατίας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25310 22858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ΠΕΙΡΑΙΑΣ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Ευρυπίδου 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210 4135228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ΑΑΡΙΣΑ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Διοικητήριο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2410 597449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ΠΑΤΡΑ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Κορίνθου 327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2610 638109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ΗΡΑΚΑΕΙΟ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Πεδιαδος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2810 300781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ΙΩΑΝΝΙΝΑ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Διοικητήριο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26510 87215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ΜΥΤΙΑΗΝΗ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 Πλ. Κωνσταντινουπόλεως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22510 46654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ΤΙΜΗ ΠΩΑΗΣΗΣ ΦΥΑΑΩΝ ΤΗΣ ΕΦΗΜΕΡΙΔΟΣ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Σε έντυπη μορφή: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Φ.Ε.Κ. από 1 έως 16 σελίδες σε 1 € προσαυξανόμενη κατά 0,20 € για κάθε επιπλέον οκτασέλιδο ή μέρος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φωτοαντίγραφα Φ.Ε.Κ. σε 0,15 € ανά σελίδα.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μορφή DVD/CD: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2108"/>
        <w:gridCol w:w="2590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1881"/>
        <w:gridCol w:w="2311"/>
        <w:gridCol w:w="203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Α.Ε.-Ε.Π.Ε.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και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Γ.Ε.Μ.Η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τιμή πώλησης μεμονωμένων Φ.Ε.Κ. σε μορφή cd-rom από εκείνα που διατίθενται σε ψηφιακή μορφή και μέχρι 100 σελίδες, σε 5 € προσαυξανόμενη κατά 1 € ανά 50 σελίδες.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τιμή πώλησης σε μορφή cd-rom/dvd, δημοσιευμάτων μιας εταιρείας στο τεύχος Α.Ε.-Ε.Π.Ε. και Γ.Ε.ΜΗ. σε 5 € ανά έτος.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ΕΤΗΣΙΕΣ ΣΥΝΔΡΟΜΕΣ Φ.Ε.Κ.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0"/>
        <w:gridCol w:w="20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Α.Ε.-Ε.Π.Ε.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και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Γ.Ε.Μ.Η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Α.Σ.Ε.Π.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Ο.Π.Κ.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τεύχος Α.Σ.Ε.Π. (έντυπη μορφή) θα αποστέλλεται σε συνδρομητές ταχυδρομικά, με την επιβάρυνση των 70 €, ποσό το οποίο αφορά τα ταχυδρομικά έξοδα..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καταβολή γίνεται σε όλες τις Δημόσιες Οικονομικές Υπηρεσίες (Δ.Ο.Υ.). Το πρωτότυπο διπλότυπο (έγγραφο αριθμ. πρωτ. 9067/28.2.2005 2η Υπηρεσία Επιτρόπου Ελεγκτικού Συνεδρίου) με φροντίδα των ενδιαφερομένων, πρέπει να αποστέλλεται ή να κατατίθεται στο Εθνικό Τυπογραφείο (Καποδιστρίου 34, Τ.Κ. 104 32 Αθήνα).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Σημειώνεται ότι φωτοαντίγραφα διπλοτύπων, ταχυδρομικές Επιταγές για την εξόφληση της συνδρομής, δεν γίνονται δεκτά και θα επιστρέφονται.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Οι οργανισμοί τοπικής αυτοδιοίκησης, τα νομικά πρόσωπα δημοσίου δικαίου, τα μέλη της Ένωσης Ιδιοκτητών Ημερησίου Τύπου Αθηνών και Επαρχίας, οι τηλεοπτικοί και ραδιοφωνικοί σταθμοί, η Ε.Σ.Η.Ε.Α, τα τριτοβάθμια συνδικαλιστικά Όργανα και οι τριτοβάθμιες επαγγελματικές ενώσεις δικαιούνται έκπτωσης πενήντα τοις εκατό (50%) επί της ετήσιας συνδρομής.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ποσό υπέρ ΤΑ.Π.Ε.Τ. [5% επί του ποσού συνδρομής (τρέχον έτος + παλαιότητα)], καταβάλλεται ολόκληρο (Κ.Α.Ε. 3512) και υπολογίζεται πριν την έκπτωση.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Στην Ταχυδρομική συνδρομή του τεύχους Α.Σ.Ε.Π. δεν γίνεται έκπτωση.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για δημοσιεύματα που καταχωρίζονται στα Φ.Ε.Κ. στο τηλ.: 210 527900.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Φωτοαντίγραφα παλαιών Φ.Ε.Κ.: Μάρνη 8, τηλ.: 210 8220885, 210 8222924, 210 5279050.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πολίτες έχουν τη δυνατότητα ελεύθερης ανάγνωσης των δημοσιευμάτων που καταχωρίζονται σε όλα τα τεύχη της Εφημερίδαςτης Κυβερνήσεως πλην εκείνων που καταχωρούνται στο τεύχος Α.Ε.-Ε.Π.Ε. από την ιστοσελίδα του Εθνικού Τυπογραφείου (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ΥΠΗΡΕΣΙΕΣ ΕΞΥΠΗΡΕΤΗΣΗΣ ΠΟΛΙΤΩΝ ΛΕΙΤΟΥΡΓΟΥΝ ΚΑΘΗΜΕΡΙΝΑ ΑΠΟ 08:00 ΜΕΧΡΙ 13:00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 34 * ΑΘΗΝΑ 104 32 * ΤΗΛ. 210 52 79 000 * FAX 210 52 21 004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ΗΛΕΚΤΡΟΝΙΚΗ ΔΙΕΥΘΥΝΣΗ: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http://www.et.gr</w:t>
        </w:r>
      </w:hyperlink>
      <w:r>
        <w:rPr>
          <w:u w:val="single"/>
          <w:lang w:val="el" w:eastAsia="el"/>
        </w:rPr>
        <w:t xml:space="preserve"> – e-mail: 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webmaster.et@et.gr</w:t>
        </w:r>
      </w:hyperlink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t.gr" TargetMode="External" /><Relationship Id="rId5" Type="http://schemas.openxmlformats.org/officeDocument/2006/relationships/hyperlink" Target="http://www.et.gr" TargetMode="External" /><Relationship Id="rId6" Type="http://schemas.openxmlformats.org/officeDocument/2006/relationships/hyperlink" Target="mailto:webmaster.et@et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