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5. Τροποποίηση του Π.Δ/τος 102/2000 «Σύσταση Ειδικής Υπηρεσίας Δημοσίων Έργων για τη μελέτη και κατασκευή του Αυτοκινητόδρομου Πάτρας - Αθηνών - Θεσσαλονίκης - Ευζώνων (ΕΥΔΕ ΑΥΤΟΚΙΝΗΤΟΔΡΟΜΟΣ ΠΑΘΕ)» (Α΄ 99), όπως τροποποιημένο ισχύει. 1</w:t>
      </w:r>
    </w:p>
    <w:p>
      <w:pPr>
        <w:pStyle w:val="PreambelText"/>
        <w:spacing w:before="240" w:after="240"/>
        <w:rPr>
          <w:lang w:val="el" w:eastAsia="el"/>
        </w:rPr>
      </w:pPr>
      <w:r>
        <w:rPr>
          <w:lang w:val="el" w:eastAsia="el"/>
        </w:rPr>
        <w:t>6. Τροποποίηση π.δ. 500/1989 «Οργάνωση και λειτουργία της Υπηρεσίας εκπαιδευτών και συνοδών σκύλων και ρύθμιση θεμάτων που αφορούν τους αστυνομικούς σκύλους, τους συνοδούς- χειριστές και τους εκπαιδευτές τους» (Α΄- 214)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5</w:t>
      </w:r>
    </w:p>
    <w:p>
      <w:pPr>
        <w:pStyle w:val="PreambelText"/>
        <w:spacing w:before="240" w:after="240"/>
        <w:rPr>
          <w:lang w:val="el" w:eastAsia="el"/>
        </w:rPr>
      </w:pPr>
      <w:r>
        <w:rPr>
          <w:lang w:val="el" w:eastAsia="el"/>
        </w:rPr>
        <w:t>Τροποποίηση του Π.Δ/τος 102/2000 «Σύσταση Ειδικής Υπηρεσίας Δημοσίων Έργων για τη μελέτη και κατασκευή του Αυτοκινητόδρομου Πάτρας - Αθηνών - Θεσσαλονίκης - Ευζώνων (ΕΥΔΕ ΑΥΤΟΚΙΝΗΤΟΔΡΟΜΟΣ ΠΑΘΕ)» (Α΄ 99), όπως τροποποιημένο ισχύει.</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Της παραγράφου 1 του άρθρου 5 του Ν. 679/1977, «Περί αυξήσεως θέσεων προσωπικού του Υπουργείου Δημοσίων Έργων και ρυθμίσεως συναφών θεμάτων» (Α΄ 245), όπως τροποποιήθηκαν και συμπληρώθηκαν με την παρ. 1 του άρθρου 23 Ν. 1418/1984 (Α΄23).</w:t>
      </w:r>
    </w:p>
    <w:p>
      <w:pPr>
        <w:pStyle w:val="PreambelText"/>
        <w:spacing w:before="240" w:after="240"/>
        <w:rPr>
          <w:lang w:val="el" w:eastAsia="el"/>
        </w:rPr>
      </w:pPr>
      <w:r>
        <w:rPr>
          <w:lang w:val="el" w:eastAsia="el"/>
        </w:rPr>
        <w:t>β. Του άρθρου 8 του Ν. 679/1977 (Α΄ 245)., όπως τροποποιήθηκαν και συμπληρώθηκαν με τις παραγράφους 2 και 3 του άρθρου 5 του Ν. 2229/1994 (Α΄ 138), σύμφωνα με τις οποίες θα καλυφθεί η προκαλούμενη από το διάταγμα δαπάνη.</w:t>
      </w:r>
    </w:p>
    <w:p>
      <w:pPr>
        <w:pStyle w:val="PreambelText"/>
        <w:spacing w:before="240" w:after="240"/>
        <w:rPr>
          <w:lang w:val="el" w:eastAsia="el"/>
        </w:rPr>
      </w:pPr>
      <w:r>
        <w:rPr>
          <w:lang w:val="el" w:eastAsia="el"/>
        </w:rPr>
        <w:t>γ. Του άρθρου 90 του Κώδικα που κυρώθηκε με το άρθρο πρώτο του Π.Δ/τος 63/2005 «Κωδικοποίηση της Νομοθεσίας για την Κυβέρνηση και τα Κυβερνητικά Όργανα» (Α΄ 98).</w:t>
      </w:r>
    </w:p>
    <w:p>
      <w:pPr>
        <w:pStyle w:val="PreambelText"/>
        <w:spacing w:before="240" w:after="240"/>
        <w:rPr>
          <w:lang w:val="el" w:eastAsia="el"/>
        </w:rPr>
      </w:pPr>
      <w:r>
        <w:rPr>
          <w:b/>
          <w:bCs/>
          <w:lang w:val="el" w:eastAsia="el"/>
        </w:rPr>
        <w:t>Αρ. Φύλλου 13</w:t>
      </w:r>
    </w:p>
    <w:p>
      <w:pPr>
        <w:pStyle w:val="PreambelText"/>
        <w:spacing w:before="240" w:after="240"/>
        <w:rPr>
          <w:lang w:val="el" w:eastAsia="el"/>
        </w:rPr>
      </w:pPr>
      <w:r>
        <w:rPr>
          <w:lang w:val="el" w:eastAsia="el"/>
        </w:rPr>
        <w:t>9 Φεβρουαρίου 2011</w:t>
      </w:r>
    </w:p>
    <w:p>
      <w:pPr>
        <w:pStyle w:val="PreambelText"/>
        <w:spacing w:before="240" w:after="240"/>
        <w:rPr>
          <w:lang w:val="el" w:eastAsia="el"/>
        </w:rPr>
      </w:pPr>
      <w:r>
        <w:rPr>
          <w:lang w:val="el" w:eastAsia="el"/>
        </w:rPr>
        <w:t>δ. Της παραγράφου 3 του άρθρου 22 του Ν. 2362/1995 «περί Δημοσίου Λογιστικού ελέγχου των δαπανών του Κράτους και άλλες διατάξεις» (Α΄247).</w:t>
      </w:r>
    </w:p>
    <w:p>
      <w:pPr>
        <w:pStyle w:val="PreambelText"/>
        <w:spacing w:before="240" w:after="240"/>
        <w:rPr>
          <w:lang w:val="el" w:eastAsia="el"/>
        </w:rPr>
      </w:pPr>
      <w:r>
        <w:rPr>
          <w:lang w:val="el" w:eastAsia="el"/>
        </w:rPr>
        <w:t>ε. Της παραγράφου 4 του άρθρου 1 του Ν. 2469/1997 «Περιορισμός και βελτίωση της αποτελεσματικότητας των κρατικών δαπανών και άλλες διατάξεις» (Α΄38).</w:t>
      </w:r>
    </w:p>
    <w:p>
      <w:pPr>
        <w:pStyle w:val="PreambelText"/>
        <w:spacing w:before="240" w:after="240"/>
        <w:rPr>
          <w:lang w:val="el" w:eastAsia="el"/>
        </w:rPr>
      </w:pPr>
      <w:r>
        <w:rPr>
          <w:lang w:val="el" w:eastAsia="el"/>
        </w:rPr>
        <w:t>στ. Του άρθρου 6 παρ. 2 και του άρθρου 12 του π.δ. 189/2009 «Καθορισμός και ανακατανομή αρμοδιοτήτων των Υπουργείων» (Α΄ 221).</w:t>
      </w:r>
    </w:p>
    <w:p>
      <w:pPr>
        <w:pStyle w:val="PreambelText"/>
        <w:spacing w:before="240" w:after="240"/>
        <w:rPr>
          <w:lang w:val="el" w:eastAsia="el"/>
        </w:rPr>
      </w:pPr>
      <w:r>
        <w:rPr>
          <w:lang w:val="el" w:eastAsia="el"/>
        </w:rPr>
        <w:t>2α. Την αριθμ. 2672/3-12-2009 κοινή απόφαση του Πρωθυπουργού και του Υπουργού Οικονομικών «Καθορισμός αρμοδιοτήτων του Υφυπουργού Οικονομικών Φίλιππου Σαχινίδη» (Β΄ 2408).</w:t>
      </w:r>
    </w:p>
    <w:p>
      <w:pPr>
        <w:pStyle w:val="PreambelText"/>
        <w:spacing w:before="240" w:after="240"/>
        <w:rPr>
          <w:lang w:val="el" w:eastAsia="el"/>
        </w:rPr>
      </w:pPr>
      <w:r>
        <w:rPr>
          <w:lang w:val="el" w:eastAsia="el"/>
        </w:rPr>
        <w:t>β. Την υπ’ αριθμ. 46500/ΔΙΟΕ1914/13-10-2010 κοινή απόφαση του Πρωθυπουργού και του Υπουργού Οικονομίας, Ανταγωνιστικότητας και Ναυτιλίας «Ανάθεση αρμοδιοτήτων στον Υφυπουργό Οικονομίας, Ανταγωνιστικότητας και Ναυτιλίας, Παναγιώτη Ρήγα» (Β΄ 1642).</w:t>
      </w:r>
    </w:p>
    <w:p>
      <w:pPr>
        <w:pStyle w:val="PreambelText"/>
        <w:spacing w:before="240" w:after="240"/>
        <w:rPr>
          <w:lang w:val="el" w:eastAsia="el"/>
        </w:rPr>
      </w:pPr>
      <w:r>
        <w:rPr>
          <w:lang w:val="el" w:eastAsia="el"/>
        </w:rPr>
        <w:t>γ. Την αριθμ. οικ. 69139/7766/21-12-2009 κοινή απόφαση του Πρωθυπουργού και του Υπουργού Υποδομών, Μεταφορών και Δικτύων «Ανάθεση αρμοδιοτήτων του Υπουργού Υποδομών, Μεταφορών και Δικτύων, στους Υφυπουργούς Υποδομών, Μεταφορών και Δικτύων» (Β΄2514).</w:t>
      </w:r>
    </w:p>
    <w:p>
      <w:pPr>
        <w:pStyle w:val="PreambelText"/>
        <w:spacing w:before="240" w:after="240"/>
        <w:rPr>
          <w:lang w:val="el" w:eastAsia="el"/>
        </w:rPr>
      </w:pPr>
      <w:r>
        <w:rPr>
          <w:lang w:val="el" w:eastAsia="el"/>
        </w:rPr>
        <w:t>3. Τα αριθμ ΚΔ/ΦΔ000/ΚΝ6/οικ.51532/3.5.2010 και ΚΔ/ ΦΔ000/ΠΘ10/οικ.51880/ 27.5.2010 έγγραφα της Ειδικής Υπηρεσίας Δημ. Έργων για τη μελέτη και κατασκευή του Αυτοκινητόδρομου Πάτρας- Αθηνών - Θεσσαλονίκης - Ευζώνων (ΕΥΔΕ Αυτοκινητόδρομος ΠΑΘΕ), της Γενικής Γραμματείας Δημοσίων Έργων του Υπουργείου Υποδομών, Μεταφορών και Δικτύων.</w:t>
      </w:r>
    </w:p>
    <w:p>
      <w:pPr>
        <w:pStyle w:val="PreambelText"/>
        <w:spacing w:before="240" w:after="240"/>
        <w:rPr>
          <w:lang w:val="el" w:eastAsia="el"/>
        </w:rPr>
      </w:pPr>
      <w:r>
        <w:rPr>
          <w:lang w:val="el" w:eastAsia="el"/>
        </w:rPr>
        <w:t>4. Το γεγονός ότι από τις διατάξεις του παρόντος προκαλούνται οι ακόλουθες δαπάνες:</w:t>
      </w:r>
    </w:p>
    <w:p>
      <w:pPr>
        <w:pStyle w:val="PreambelText"/>
        <w:spacing w:before="240" w:after="240"/>
        <w:rPr>
          <w:lang w:val="el" w:eastAsia="el"/>
        </w:rPr>
      </w:pPr>
      <w:r>
        <w:rPr>
          <w:lang w:val="el" w:eastAsia="el"/>
        </w:rPr>
        <w:t>α. Επί του Τακτικού Προϋπολογισμού: δαπάνη ύψους 420 € περίπου για το έτος 2010, 5.000 € περίπου για καθένα των ετών 2011 και 2012 και 4.600 € περίπου για το έτος 2013, η οποία θα καλύπτεται από τις πιστώσεις του προϋπολογισμού της Γενικής Γραμματείας Δημοσίων Έργων του Υπουργείου Υποδομών, Μεταφορών και Δικτύων (Ε.Φ. 39-130/ΚΑΕ 0215).</w:t>
      </w:r>
    </w:p>
    <w:p>
      <w:pPr>
        <w:pStyle w:val="PreambelText"/>
        <w:spacing w:before="240" w:after="240"/>
        <w:rPr>
          <w:lang w:val="el" w:eastAsia="el"/>
        </w:rPr>
      </w:pPr>
      <w:r>
        <w:rPr>
          <w:lang w:val="el" w:eastAsia="el"/>
        </w:rPr>
        <w:t>β. Επί του Προϋπολογισμού Δημοσίων Επενδύσεων (ΠΔΕ): δαπάνη ύψους 73.050 € περίπου για το έτος 2010, 614.000 € περίπου για το έτος 2011. Επίσης 608.000 € περίπου για το έτος 2012 και 549.500 € περίπου για το έτος 2013. Η ανωτέρω δαπάνη θα καλύπτεται από τις πιστώσεις της ΣΑΕ 071/3 με κωδικό έργου 2001ΣΕ07130002.</w:t>
      </w:r>
    </w:p>
    <w:p>
      <w:pPr>
        <w:pStyle w:val="PreambelText"/>
        <w:spacing w:before="240" w:after="240"/>
        <w:rPr>
          <w:lang w:val="el" w:eastAsia="el"/>
        </w:rPr>
      </w:pPr>
      <w:r>
        <w:rPr>
          <w:lang w:val="el" w:eastAsia="el"/>
        </w:rPr>
        <w:t>5. Την αριθμ. Δ247/2010 γνωμοδότηση του Συμβουλίου της Επικρατείας, μετά από πρόταση των Υφυπουργών Οικονομικών, Οικονομίας Ανταγωνιστικότητας και Ναυτιλίας και Υποδομών, Μεταφορών και Δικτύων,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διατάξεων π.δ. 500/1989</w:t>
      </w:r>
    </w:p>
    <w:p>
      <w:pPr>
        <w:pStyle w:val="MainText"/>
        <w:spacing w:before="120" w:after="0"/>
        <w:rPr>
          <w:lang w:val="el" w:eastAsia="el"/>
        </w:rPr>
      </w:pPr>
      <w:r>
        <w:rPr>
          <w:b/>
          <w:bCs/>
          <w:lang w:val="el" w:eastAsia="el"/>
        </w:rPr>
        <w:t>1.</w:t>
      </w:r>
      <w:r>
        <w:rPr>
          <w:lang w:val="el" w:eastAsia="el"/>
        </w:rPr>
        <w:t xml:space="preserve"> Η εισαγωγική πρόταση και η περίπτ. α’ της παρ. 1 του άρθρου 3 του π.δ. 500/1989 (Α΄ - 214) όπως η περίπτωση αυτή αντικαταστάθηκε με το άρθρο 5 του π.δ. 289/1998 (Α΄-208) και το άρθρο 1 του π.δ. 14/2009 (Α΄- 30), αντικαθίστανται ως εξής:</w:t>
      </w:r>
    </w:p>
    <w:p>
      <w:pPr>
        <w:spacing w:before="240" w:after="240"/>
        <w:rPr>
          <w:lang w:val="el" w:eastAsia="el"/>
        </w:rPr>
      </w:pPr>
      <w:r>
        <w:rPr>
          <w:lang w:val="el" w:eastAsia="el"/>
        </w:rPr>
        <w:t>«1. Οι συνοδοί - χειριστές αστυνομικών σκύλων επιλέγονται από το αστυνομικό προσωπικό, κατά προτίμηση από εκείνο των Αστυνομικών Διευθύνσεων στις οποίες ανακύπτει ανάγκη κατανομής αστυνομικών σκύλων και συνοδών αυτών, που έχει τα εξής προσόντα:</w:t>
      </w:r>
    </w:p>
    <w:p>
      <w:pPr>
        <w:spacing w:before="240" w:after="240"/>
        <w:rPr>
          <w:lang w:val="el" w:eastAsia="el"/>
        </w:rPr>
      </w:pPr>
      <w:r>
        <w:rPr>
          <w:lang w:val="el" w:eastAsia="el"/>
        </w:rPr>
        <w:t>α. Ηλικία μέχρι 42 ετών καθώς και τριετή τουλάχιστον υπηρεσία στο Σώμα στην οποία δεν συνυπολογίζεται ο χρόνος των σχολών».</w:t>
      </w:r>
    </w:p>
    <w:p>
      <w:pPr>
        <w:pStyle w:val="MainText"/>
        <w:spacing w:before="120" w:after="0"/>
        <w:rPr>
          <w:lang w:val="el" w:eastAsia="el"/>
        </w:rPr>
      </w:pPr>
      <w:r>
        <w:rPr>
          <w:b/>
          <w:bCs/>
          <w:lang w:val="el" w:eastAsia="el"/>
        </w:rPr>
        <w:t>2.</w:t>
      </w:r>
      <w:r>
        <w:rPr>
          <w:lang w:val="el" w:eastAsia="el"/>
        </w:rPr>
        <w:t xml:space="preserve"> Η περίπτ. α’ της παρ. 2 του άρθρου 3 του ιδίου π.δ. αντικαθίσταται ως εξής:</w:t>
      </w:r>
    </w:p>
    <w:p>
      <w:pPr>
        <w:spacing w:before="240" w:after="240"/>
        <w:rPr>
          <w:lang w:val="el" w:eastAsia="el"/>
        </w:rPr>
      </w:pPr>
      <w:r>
        <w:rPr>
          <w:lang w:val="el" w:eastAsia="el"/>
        </w:rPr>
        <w:t>«α. Ηλικία μέχρι 42 ετών και τετραετή τουλάχιστον προϋπηρεσία ως συνοδοί -χειριστές σκύλων».</w:t>
      </w:r>
    </w:p>
    <w:p>
      <w:pPr>
        <w:pStyle w:val="MainText"/>
        <w:spacing w:before="120" w:after="0"/>
        <w:rPr>
          <w:lang w:val="el" w:eastAsia="el"/>
        </w:rPr>
      </w:pPr>
      <w:r>
        <w:rPr>
          <w:b/>
          <w:bCs/>
          <w:lang w:val="el" w:eastAsia="el"/>
        </w:rPr>
        <w:t>3.</w:t>
      </w:r>
      <w:r>
        <w:rPr>
          <w:lang w:val="el" w:eastAsia="el"/>
        </w:rPr>
        <w:t xml:space="preserve"> Στην παρ. 6 του άρθρου 9 του ιδίου π.δ., όπως η παράγραφος αυτή αντικαταστάθηκε με το άρθρο 4 του π.δ. 14/2009, προστίθενται περιπτ. δ΄ και ε΄ ως εξής:</w:t>
      </w:r>
    </w:p>
    <w:p>
      <w:pPr>
        <w:spacing w:before="240" w:after="240"/>
        <w:rPr>
          <w:lang w:val="el" w:eastAsia="el"/>
        </w:rPr>
      </w:pPr>
      <w:r>
        <w:rPr>
          <w:lang w:val="el" w:eastAsia="el"/>
        </w:rPr>
        <w:t>«δ. περιπολίας και ανίχνευσης ναρκωτικών ουσιών.</w:t>
      </w:r>
    </w:p>
    <w:p>
      <w:pPr>
        <w:spacing w:before="240" w:after="240"/>
        <w:rPr>
          <w:lang w:val="el" w:eastAsia="el"/>
        </w:rPr>
      </w:pPr>
      <w:r>
        <w:rPr>
          <w:lang w:val="el" w:eastAsia="el"/>
        </w:rPr>
        <w:t>ε. περιπολίας και ανίχνευσης εκρηκτικών υλών».</w:t>
      </w:r>
    </w:p>
    <w:p>
      <w:pPr>
        <w:pStyle w:val="MainText"/>
        <w:spacing w:before="120" w:after="0"/>
        <w:rPr>
          <w:lang w:val="el" w:eastAsia="el"/>
        </w:rPr>
      </w:pPr>
      <w:r>
        <w:rPr>
          <w:b/>
          <w:bCs/>
          <w:lang w:val="el" w:eastAsia="el"/>
        </w:rPr>
        <w:t>4.</w:t>
      </w:r>
      <w:r>
        <w:rPr>
          <w:lang w:val="el" w:eastAsia="el"/>
        </w:rPr>
        <w:t xml:space="preserve"> Η περίπτ. στ’ της παρ. 1 του άρθρου 12 του ιδίου π.δ. που προστέθηκε με το άρθρο 5 του π.δ. 14/2009 αντικαθίσταται ως εξής:</w:t>
      </w:r>
    </w:p>
    <w:p>
      <w:pPr>
        <w:spacing w:before="240" w:after="240"/>
        <w:rPr>
          <w:lang w:val="el" w:eastAsia="el"/>
        </w:rPr>
      </w:pPr>
      <w:r>
        <w:rPr>
          <w:lang w:val="el" w:eastAsia="el"/>
        </w:rPr>
        <w:t>«στ. Στα Τμήματα Γενικής Αστυνόμευσης των Διευθύνσεων Αστυνομίας ή στα Γραφεία Αστυνόμευσης - Ασφαλείας των Αστυνομικών Διευθύνσεων καθώς και στα Τμήματα Συνοριακής Φύλαξης και τα Τμήματα Δίωξης Λαθρομετανάστευσης, όσοι εκτελούν υπηρεσία στην εδαφική τους περιφέρεια και ασχολούνται με την αναζήτηση εξαφανισθέντων ατόμων, τη φύλαξη προσώπων και πραγμάτων, τη φύλαξη και συνοδεία κρατουμένων προς αποτροπή απόδρασης, τη λήψη μέτρων σε αθλητικές εγκαταστάσεις και τη διενέργεια περιπολιών».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 Στον Υπουργό Προστασίας του Πολίτη αναθέτουμε τη δημοσίευση και εκτέλεση του παρόντος διατάγματος.</w:t>
      </w:r>
    </w:p>
    <w:p>
      <w:pPr>
        <w:spacing w:before="240" w:after="240"/>
        <w:rPr>
          <w:lang w:val="el" w:eastAsia="el"/>
        </w:rPr>
      </w:pPr>
      <w:r>
        <w:rPr>
          <w:lang w:val="el" w:eastAsia="el"/>
        </w:rPr>
        <w:t>Αθήνα, 31 Ιανουαρίου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ΥΦΥΠΟΥΡΓΟΣ ΠΡΟΣΤΑΣΙΑΣ ΤΟΥ ΠΟΛΙΤΗ</w:t>
      </w:r>
    </w:p>
    <w:p>
      <w:pPr>
        <w:spacing w:before="240" w:after="240"/>
        <w:rPr>
          <w:lang w:val="el" w:eastAsia="el"/>
        </w:rPr>
      </w:pPr>
      <w:r>
        <w:rPr>
          <w:b/>
          <w:bCs/>
          <w:lang w:val="el" w:eastAsia="el"/>
        </w:rPr>
        <w:t>ΕΜΜΑΝΟΥΗΛ ΟΘΩΝΑΣ</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