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ΠΕΡΙ</w:t>
      </w:r>
      <w:r>
        <w:rPr>
          <w:u w:val="single"/>
          <w:lang w:val="el" w:eastAsia="el"/>
        </w:rPr>
        <w:t>ΕΧΟΜ</w:t>
      </w:r>
      <w:r>
        <w:rPr>
          <w:lang w:val="el" w:eastAsia="el"/>
        </w:rPr>
        <w:t>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97. Προθεσμία απόδοσης λογαριασμού Χρηματικών</w:t>
      </w:r>
    </w:p>
    <w:p>
      <w:pPr>
        <w:pStyle w:val="PreambelText"/>
        <w:spacing w:before="240" w:after="240"/>
        <w:rPr>
          <w:lang w:val="el" w:eastAsia="el"/>
        </w:rPr>
      </w:pPr>
      <w:r>
        <w:rPr>
          <w:lang w:val="el" w:eastAsia="el"/>
        </w:rPr>
        <w:t>Ενταλμάτων Προπληρωμής 1</w:t>
      </w:r>
    </w:p>
    <w:p>
      <w:pPr>
        <w:pStyle w:val="PreambelText"/>
        <w:spacing w:before="240" w:after="240"/>
        <w:rPr>
          <w:lang w:val="el" w:eastAsia="el"/>
        </w:rPr>
      </w:pPr>
      <w:r>
        <w:rPr>
          <w:lang w:val="el" w:eastAsia="el"/>
        </w:rPr>
        <w:t>98. Τροποποίηση του Β.Δ. 502/1971 «Περί αναγνωρίσε- ως ονομασιών προελεύσεως οίνων» (Α΄ 150) που αφορά στην προστατευόμενη ονομασία προέλευσης «ΡΟΔΟΣ»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PreambelText"/>
        <w:spacing w:before="240" w:after="240"/>
        <w:rPr>
          <w:lang w:val="el" w:eastAsia="el"/>
        </w:rPr>
      </w:pPr>
      <w:r>
        <w:rPr>
          <w:lang w:val="el" w:eastAsia="el"/>
        </w:rPr>
        <w:t>ΠΡΟΕΔΡΙΚΟ ΔΙΑΤΑΓΜΑ ΥΠ’ ΑΡΙΘΜ. 97</w:t>
      </w:r>
    </w:p>
    <w:p>
      <w:pPr>
        <w:pStyle w:val="PreambelText"/>
        <w:spacing w:before="240" w:after="240"/>
        <w:rPr>
          <w:lang w:val="el" w:eastAsia="el"/>
        </w:rPr>
      </w:pPr>
      <w:r>
        <w:rPr>
          <w:lang w:val="el" w:eastAsia="el"/>
        </w:rPr>
        <w:t>Προθεσμία απόδοσης λογαριασμού Χρηματικών Ενταλμάτων Προπληρωμής.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του άρθρου 41, παρ. 2, του Ν. 2362/ 1995 «Περί Δημοσίου Λογιστικού, ελέγχου των δαπανών του Κράτους και άλλες διατάξεις» (Α΄ 247), όπως αντικαταστάθηκε με το άρθρο 31, του Ν. 3871/2010 (Α΄ 141), β) τις διατάξεις του άρθρου 90, του Κώδικα,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Την αριθμ. Υ350/8-7-2011 απόφαση του Πρωθυπουργού «Καθορισμός αρμοδιοτήτων των αναπληρωτών Υπουργών Οικονομικών Φίλιππου Σαχινίδη και Παντελή Οικονόμου» (Β΄ 1603).</w:t>
      </w:r>
    </w:p>
    <w:p>
      <w:pPr>
        <w:pStyle w:val="PreambelText"/>
        <w:spacing w:before="240" w:after="240"/>
        <w:rPr>
          <w:lang w:val="el" w:eastAsia="el"/>
        </w:rPr>
      </w:pPr>
      <w:r>
        <w:rPr>
          <w:lang w:val="el" w:eastAsia="el"/>
        </w:rPr>
        <w:t>3. Το γεγονός ότι από την εφαρμογή των διατάξεων του παρόντος π.δ/τος δεν προκαλείται δαπάνη σε βάρος του Κρατικού Προϋπολογισμού.</w:t>
      </w:r>
    </w:p>
    <w:p>
      <w:pPr>
        <w:pStyle w:val="PreambelText"/>
        <w:spacing w:before="240" w:after="240"/>
        <w:rPr>
          <w:lang w:val="el" w:eastAsia="el"/>
        </w:rPr>
      </w:pPr>
      <w:r>
        <w:rPr>
          <w:lang w:val="el" w:eastAsia="el"/>
        </w:rPr>
        <w:t>4. Την 273/2011 Γνωμοδότηση του Συμβουλίου της Επικρατείας με πρόταση του Αναπληρωτή Υπουργού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Προθεσμία απόδοσης λογαριασμού χρηματικώνενταλμάτων προπληρωμής (Χ.Ε.Π.)</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 μπορεί να ορισθεί πέραν του ενός (1) μηνός από τη λήξη του οικονομικού έτους κατά το οποίο εκδόθηκε το χρη-</w:t>
      </w:r>
    </w:p>
    <w:p>
      <w:pPr>
        <w:spacing w:before="240" w:after="240"/>
        <w:rPr>
          <w:lang w:val="el" w:eastAsia="el"/>
        </w:rPr>
      </w:pPr>
      <w:r>
        <w:rPr>
          <w:b/>
          <w:bCs/>
          <w:lang w:val="el" w:eastAsia="el"/>
        </w:rPr>
        <w:t>Αρ. Φύλλου 232</w:t>
      </w:r>
    </w:p>
    <w:p>
      <w:pPr>
        <w:spacing w:before="240" w:after="240"/>
        <w:rPr>
          <w:lang w:val="el" w:eastAsia="el"/>
        </w:rPr>
      </w:pPr>
      <w:r>
        <w:rPr>
          <w:lang w:val="el" w:eastAsia="el"/>
        </w:rPr>
        <w:t>3 Νοεμβρίου 2011</w:t>
      </w:r>
    </w:p>
    <w:p>
      <w:pPr>
        <w:spacing w:before="240" w:after="240"/>
        <w:rPr>
          <w:lang w:val="el" w:eastAsia="el"/>
        </w:rPr>
      </w:pPr>
      <w:r>
        <w:rPr>
          <w:lang w:val="el" w:eastAsia="el"/>
        </w:rPr>
        <w:t>ματικό ένταλμα προπληρωμής (άρθρο 41, παρ. 1, Ν. 2362/1995).</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μετά από πλήρως αιτιολογημένη πρόταση του οικείου Διατά- κτη και εισήγηση της αρμόδιας Υπηρεσίας Δημοσιονομικού Ελέγχου ή του Ειδικού Λογιστηρίου, επιτρέπεται κατ’ εξαίρεση, να παρατείνεται η προθεσμία απόδοσης λογαριασμού για τις κατωτέρω κατηγορίες Χ.Ε.Π., ως ακολούθως:</w:t>
      </w:r>
    </w:p>
    <w:p>
      <w:pPr>
        <w:spacing w:before="240" w:after="240"/>
        <w:rPr>
          <w:lang w:val="el" w:eastAsia="el"/>
        </w:rPr>
      </w:pPr>
      <w:r>
        <w:rPr>
          <w:lang w:val="el" w:eastAsia="el"/>
        </w:rPr>
        <w:t>α. Μέχρι ένα (1) έτος για Χ.Ε.Π. που αφορούν δαπάνες: i) προμηθειών της Ελληνικής Αστυνομίας, του Πυροσβεστικού Σώματος και του Λιμενικού Σώματος - Ελληνικής Ακτοφυλακής, καθώς και δαπάνες προμηθειών και παροχής υπηρεσιών της ΕΥΠ, που έχουν χαρακτηρισθεί με απόφαση του αρμόδιου Υπουργού ή του κατά νόμο εξουσιοδοτημένου οργάνου, ως απόρρητες, ii) προμηθειών, παροχής υπηρεσιών και δημοσίων έργων των Ενόπλων Δυνάμεων στο εσωτερικό.</w:t>
      </w:r>
    </w:p>
    <w:p>
      <w:pPr>
        <w:spacing w:before="240" w:after="240"/>
        <w:rPr>
          <w:lang w:val="el" w:eastAsia="el"/>
        </w:rPr>
      </w:pPr>
      <w:r>
        <w:rPr>
          <w:lang w:val="el" w:eastAsia="el"/>
        </w:rPr>
        <w:t>β. Μέχρι δύο (2) έτη για Χ.Ε.Π. που αφορούν: i) δαπάνες και προμήθειες εξωτερικού, ii) επιδοτήσεις εν γένει, προκειμένου για Χ.Ε.Π. που εκδίδονται στο όνομα της Αγροτικής Τράπεζας της Ελλάδος.</w:t>
      </w:r>
    </w:p>
    <w:p>
      <w:pPr>
        <w:pStyle w:val="MainText"/>
        <w:spacing w:before="120" w:after="0"/>
        <w:rPr>
          <w:lang w:val="el" w:eastAsia="el"/>
        </w:rPr>
      </w:pPr>
      <w:r>
        <w:rPr>
          <w:b/>
          <w:bCs/>
          <w:lang w:val="el" w:eastAsia="el"/>
        </w:rPr>
        <w:t>3.</w:t>
      </w:r>
      <w:r>
        <w:rPr>
          <w:lang w:val="el" w:eastAsia="el"/>
        </w:rPr>
        <w:t xml:space="preserve"> Ειδικά, για τα Χ.Ε.Π. που αφορούν δαπάνες και προμήθειες εξωτερικού των Κλάδων των Ενόπλων Δυνάμεων, με εξαίρεση δαπάνες εκπαίδευσης στρατιωτικού προσωπικού, καθώς και δαπάνες νοσηλείας στο εξωτερικό στρατιωτικών και μελών των οικογενειών τους, η προθεσμία απόδοσης λογαριασμού μπορεί να παρατείνεται, με κοινή απόφαση των Υπουργών Οικονομικών και Εθνικής Άμυνας, ως ακολούθως: i) μέχρι πέντε (5) έτη για εντάλματα που αφορούν προμήθειες υλικών ή παροχή υπηρεσιών, που πραγματοποιούνται μέσω οίκων του εξωτερικού ή Διακρατικών Συμφωνιών (BWB), εφόσον διαπιστώνεται από τον Αρχηγό του οικείου Γενικού Επιτελείου αδυναμία ολοκλήρωσης των προβλεπόμενων παραδόσεων και διαδικασιών, ii) μέχρι επτά (7) έτη για εντάλματα που αφορούν προμήθειες υλικών, μέσω στρατιωτικών πωλήσεων εξωτερικού (F.M.S.), εφόσον διαπιστώνεται από τον Αρχηγό του οικείου Γενικού Επιτελείου αδυναμία ολοκλήρωσης των προβλεπόμενων παραδόσεων και διαδικασιών.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Διενέργεια πληρωμών</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ημερομηνίααπόδοσης λογαριασμού και σε καμία περίπτωση πέραν της 31ης Δεκεμβρίου του έτους κατά το οποίο εκδόθηκε το Χ.Ε.Π. (άρθρο 40, παρ. 1, N. 2362/1995).</w:t>
      </w:r>
    </w:p>
    <w:p>
      <w:pPr>
        <w:pStyle w:val="MainText"/>
        <w:spacing w:before="120" w:after="0"/>
        <w:rPr>
          <w:lang w:val="el" w:eastAsia="el"/>
        </w:rPr>
      </w:pPr>
      <w:r>
        <w:rPr>
          <w:b/>
          <w:bCs/>
          <w:lang w:val="el" w:eastAsia="el"/>
        </w:rPr>
        <w:t>2.</w:t>
      </w:r>
      <w:r>
        <w:rPr>
          <w:lang w:val="el" w:eastAsia="el"/>
        </w:rPr>
        <w:t xml:space="preserve"> Ειδικά για τα Χ.Ε.Π. για τα οποία η προθεσμία απόδοσης λογαριασμού παρατείνεται σύμφωνα με τις διατάξεις του προηγούμενου άρθρου, επιτρέπεται, κατ’ εξαίρεση, η διενέργεια πληρωμών από το προϊόν τους, μέχρι τη λήξη της παράτασης.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την 1η του επόμενου οικονομικού έτους.</w:t>
      </w:r>
    </w:p>
    <w:p>
      <w:pPr>
        <w:spacing w:before="240" w:after="240"/>
        <w:rPr>
          <w:lang w:val="el" w:eastAsia="el"/>
        </w:rPr>
      </w:pPr>
      <w:r>
        <w:rPr>
          <w:lang w:val="el" w:eastAsia="el"/>
        </w:rPr>
        <w:t>Στον Υπουργό Οικονομικών αναθέτουμε τη δημοσίευση και εκτέλεση του διατάγματος αυτού.</w:t>
      </w:r>
    </w:p>
    <w:p>
      <w:pPr>
        <w:spacing w:before="240" w:after="240"/>
        <w:rPr>
          <w:lang w:val="el" w:eastAsia="el"/>
        </w:rPr>
      </w:pPr>
      <w:r>
        <w:rPr>
          <w:lang w:val="el" w:eastAsia="el"/>
        </w:rPr>
        <w:t>Αθήνα, 3 Νοεμβρίου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b/>
          <w:bCs/>
          <w:lang w:val="el" w:eastAsia="el"/>
        </w:rPr>
        <w:t>ΦΙΛΙΠΠΟΣ ΣΑΧΙΝΙΔΗΣ</w:t>
      </w:r>
      <w:r>
        <w:rPr>
          <w:lang w:val="el" w:eastAsia="el"/>
        </w:rPr>
        <w:t>F</w:t>
      </w:r>
    </w:p>
    <w:p>
      <w:pPr>
        <w:spacing w:before="240" w:after="240"/>
        <w:rPr>
          <w:lang w:val="el" w:eastAsia="el"/>
        </w:rPr>
      </w:pPr>
      <w:r>
        <w:rPr>
          <w:lang w:val="el" w:eastAsia="el"/>
        </w:rPr>
        <w:t xml:space="preserve">ΠΡΟΕΔΡΙΚΟ ΔΙΑΤΑΓΜΑ ΥΠ’ ΑΡΙΘ. </w:t>
      </w:r>
    </w:p>
    <w:p>
      <w:pPr>
        <w:spacing w:before="240" w:after="240"/>
        <w:rPr>
          <w:lang w:val="el" w:eastAsia="el"/>
        </w:rPr>
      </w:pPr>
      <w:r>
        <w:rPr>
          <w:lang w:val="el" w:eastAsia="el"/>
        </w:rPr>
        <w:t xml:space="preserve">98Τροποποίηση του Β.Δ. 502/1971 </w:t>
      </w:r>
    </w:p>
    <w:p>
      <w:pPr>
        <w:spacing w:before="240" w:after="240"/>
        <w:rPr>
          <w:lang w:val="el" w:eastAsia="el"/>
        </w:rPr>
      </w:pPr>
      <w:r>
        <w:rPr>
          <w:lang w:val="el" w:eastAsia="el"/>
        </w:rPr>
        <w:t xml:space="preserve">«Περί αναγνωρίσεωςονομασιών προελεύσεως οίνων» (Α΄ 150) </w:t>
      </w:r>
    </w:p>
    <w:p>
      <w:pPr>
        <w:spacing w:before="240" w:after="240"/>
        <w:rPr>
          <w:lang w:val="el" w:eastAsia="el"/>
        </w:rPr>
      </w:pPr>
      <w:r>
        <w:rPr>
          <w:lang w:val="el" w:eastAsia="el"/>
        </w:rPr>
        <w:t>που αφοράστην προστατευόμενη ονομασία προέλευσης «ΡΟ-ΔΟΣ».</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spacing w:before="240" w:after="240"/>
        <w:rPr>
          <w:lang w:val="el" w:eastAsia="el"/>
        </w:rPr>
      </w:pPr>
      <w:r>
        <w:rPr>
          <w:lang w:val="el" w:eastAsia="el"/>
        </w:rPr>
        <w:t>α. Των άρθρων 4 και 5 παρ. 1, 8 και 9 του Ν.Δ. 243/1969 «Περί βελτιώσεως και προστασίας της αμπελουργικής παραγωγής» (Α΄ 149), όπως αυτά έχουν τροποποιηθεί με τα άρθρα 3 και 4 του Ν. 427/1976 (Α΄ 230).</w:t>
      </w:r>
    </w:p>
    <w:p>
      <w:pPr>
        <w:spacing w:before="240" w:after="240"/>
        <w:rPr>
          <w:lang w:val="el" w:eastAsia="el"/>
        </w:rPr>
      </w:pPr>
      <w:r>
        <w:rPr>
          <w:lang w:val="el" w:eastAsia="el"/>
        </w:rPr>
        <w:t>β. Το άρθρο 2 του Β.Δ. 502/ 1971 «Περί αναγνωρίσεως ονομασιών προελεύσεως οίνων» (Α΄ 150) όπως αντικαταστάθηκε με το άρθρο μόνο του Π.Δ. 257/1998 (Α΄ 190).</w:t>
      </w:r>
    </w:p>
    <w:p>
      <w:pPr>
        <w:spacing w:before="240" w:after="240"/>
        <w:rPr>
          <w:lang w:val="el" w:eastAsia="el"/>
        </w:rPr>
      </w:pPr>
      <w:r>
        <w:rPr>
          <w:lang w:val="el" w:eastAsia="el"/>
        </w:rPr>
        <w:t>γ. Του άρθρου 90 του «Κώδικα Νομοθεσίας για την Κυβέρνηση και τα Κυβερνητικά όργανα» που τέθηκε σε ισχύ με το άρθρο πρώτο του Π.Δ. 63/2005 «Κωδικοποίηση της Νομοθεσίας για την Κυβέρνηση και τα Κυβερνητικά όργανα» (Α΄ 98).</w:t>
      </w:r>
    </w:p>
    <w:p>
      <w:pPr>
        <w:pStyle w:val="MainText"/>
        <w:spacing w:before="120" w:after="0"/>
        <w:rPr>
          <w:lang w:val="el" w:eastAsia="el"/>
        </w:rPr>
      </w:pPr>
      <w:r>
        <w:rPr>
          <w:b/>
          <w:bCs/>
          <w:lang w:val="el" w:eastAsia="el"/>
        </w:rPr>
        <w:t>2.</w:t>
      </w:r>
      <w:r>
        <w:rPr>
          <w:lang w:val="el" w:eastAsia="el"/>
        </w:rPr>
        <w:t xml:space="preserve"> Τo Π.Δ. 89/2010 «Διορισμός Υπουργών, Αναπληρωτών Υπουργών και Υφυπουργών» (Α΄ 154).</w:t>
      </w:r>
    </w:p>
    <w:p>
      <w:pPr>
        <w:pStyle w:val="MainText"/>
        <w:spacing w:before="120" w:after="0"/>
        <w:rPr>
          <w:lang w:val="el" w:eastAsia="el"/>
        </w:rPr>
      </w:pPr>
      <w:r>
        <w:rPr>
          <w:b/>
          <w:bCs/>
          <w:lang w:val="el" w:eastAsia="el"/>
        </w:rPr>
        <w:t>3.</w:t>
      </w:r>
      <w:r>
        <w:rPr>
          <w:lang w:val="el" w:eastAsia="el"/>
        </w:rPr>
        <w:t xml:space="preserve"> Την με αριθμ. 2/78/18.11.2010 γνωμοδότηση της Κεντρικής Επιτροπής Προστασίας Οινοπαραγωγής (ΚΕΠΟ).</w:t>
      </w:r>
    </w:p>
    <w:p>
      <w:pPr>
        <w:pStyle w:val="MainText"/>
        <w:spacing w:before="120" w:after="0"/>
        <w:rPr>
          <w:lang w:val="el" w:eastAsia="el"/>
        </w:rPr>
      </w:pPr>
      <w:r>
        <w:rPr>
          <w:b/>
          <w:bCs/>
          <w:lang w:val="el" w:eastAsia="el"/>
        </w:rPr>
        <w:t>4.</w:t>
      </w:r>
      <w:r>
        <w:rPr>
          <w:lang w:val="el" w:eastAsia="el"/>
        </w:rPr>
        <w:t xml:space="preserve"> Το γεγονός ότι από τις διατάξεις του παρόντος διατάγματος δεν προκαλείται δαπάνη σε βάρος του Κρατικού Προϋπολογισμού.</w:t>
      </w:r>
    </w:p>
    <w:p>
      <w:pPr>
        <w:pStyle w:val="MainText"/>
        <w:spacing w:before="120" w:after="0"/>
        <w:rPr>
          <w:lang w:val="el" w:eastAsia="el"/>
        </w:rPr>
      </w:pPr>
      <w:r>
        <w:rPr>
          <w:b/>
          <w:bCs/>
          <w:lang w:val="el" w:eastAsia="el"/>
        </w:rPr>
        <w:t>5.</w:t>
      </w:r>
      <w:r>
        <w:rPr>
          <w:lang w:val="el" w:eastAsia="el"/>
        </w:rPr>
        <w:t xml:space="preserve"> Την με αριθμ. 234/2011 γνωμοδότηση του Συμβουλίου της Επικρατείας, μετά από πρόταση του Υπουργού Αγροτικής Ανάπτυξης και Τροφίμων,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Το άρθρο 2 του Β.Δ. 502/1971 «Περί αναγνωρίσεως ονομασιών προελεύσεως οίνων» (Α΄ 150) όπως αντικαταστάθηκε με το άρθρο μόνο του Π.Δ. 257/1998 (Α΄ 190), αντικαθίσταται ως ακολούθως:</w:t>
      </w:r>
    </w:p>
    <w:p>
      <w:pPr>
        <w:spacing w:before="240" w:after="240"/>
        <w:rPr>
          <w:lang w:val="el" w:eastAsia="el"/>
        </w:rPr>
      </w:pPr>
      <w:r>
        <w:rPr>
          <w:lang w:val="el" w:eastAsia="el"/>
        </w:rPr>
        <w:t>«Άρθρο 2</w:t>
      </w:r>
    </w:p>
    <w:p>
      <w:pPr>
        <w:spacing w:before="240" w:after="240"/>
        <w:rPr>
          <w:lang w:val="el" w:eastAsia="el"/>
        </w:rPr>
      </w:pPr>
      <w:r>
        <w:rPr>
          <w:lang w:val="el" w:eastAsia="el"/>
        </w:rPr>
        <w:t>1. Η Ονομασία Προέλευσης «ΡΟΔΟΣ», αναγνωρίζεται και προστατεύεται ως απλή για λευκούς ξηρούς, ημί- ξηρους, ημίγλυκους και αφρώδεις οίνους ποιότητας, που παράγονται από σταφύλια των ποικιλιών Αθήρι, Μαλαγουζιά και Ασύρτικο, για ερυθρούς ξηρούς, ημίξη- ρους και ημίγλυκους που παράγονται από σταφύλια των ποικιλιών Μανδηλαριά και Μαυροθήρικο καθώς και για ερυθρωπούς ξηρούς, ημίξηρους, ημίγλυκους και αφρώδεις οίνους ποιότητας, που παράγονται από σταφύλια των ποικιλιών Μανδηλαριά και Μαυροθήρικο.</w:t>
      </w:r>
    </w:p>
    <w:p>
      <w:pPr>
        <w:spacing w:before="240" w:after="240"/>
        <w:rPr>
          <w:lang w:val="el" w:eastAsia="el"/>
        </w:rPr>
      </w:pPr>
      <w:r>
        <w:rPr>
          <w:lang w:val="el" w:eastAsia="el"/>
        </w:rPr>
        <w:t>2. Τα σταφύλια των ανωτέρω ποικιλιών προέρχονται αποκλειστικά από αμπέλια των κτηματικών περιοχών της Δημοτικής Κοινότητας Έμπωνα και των Τοπικών Κοινοτήτων Αγίου Ισιδώρου, Κρητηνίας, Μονολίθου και Σιάνων της Δημοτικής Ενότητας Αταβύρου, της Δημοτικής Κοινότητας Σορωνής και των Τοπικών Κοινοτήτων Απόλλωνα, Καλαβάρδας, Σαλάκου και Φανών της Δημοτικής Ενότητας Καμείρου καθώς και της Δημοτικής Κοινότητας Μαριτσών και των Τοπικών Κοινοτήτων Δαματρίας και Θεολόγου της Δημοτικής Ενότητας Πεταλούδων του Δήμου Ρόδου.»</w:t>
      </w:r>
    </w:p>
    <w:p>
      <w:pPr>
        <w:spacing w:before="240" w:after="240"/>
        <w:rPr>
          <w:lang w:val="el" w:eastAsia="el"/>
        </w:rPr>
      </w:pPr>
      <w:r>
        <w:rPr>
          <w:lang w:val="el" w:eastAsia="el"/>
        </w:rPr>
        <w:t>Στον Υπουργό Αγροτικής Ανάπτυξης και Τροφίμων αναθέτουμε τη δημοσίευση και εκτέλεση του παρόντος διατάγματος.</w:t>
      </w:r>
    </w:p>
    <w:p>
      <w:pPr>
        <w:spacing w:before="240" w:after="240"/>
        <w:rPr>
          <w:lang w:val="el" w:eastAsia="el"/>
        </w:rPr>
      </w:pPr>
      <w:r>
        <w:rPr>
          <w:lang w:val="el" w:eastAsia="el"/>
        </w:rPr>
        <w:t>Αθήνα, 31 Οκτωβρίου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ΥΠΟΥΡΓΟΣΑΓΡΟΤΙΚΗΣ ΑΝΑΠΤΥΞΗΣ ΚΑΙ ΤΡΟΦΙΜΩΝ</w:t>
      </w:r>
    </w:p>
    <w:p>
      <w:pPr>
        <w:spacing w:before="240" w:after="240"/>
        <w:rPr>
          <w:lang w:val="el" w:eastAsia="el"/>
        </w:rPr>
      </w:pPr>
      <w:r>
        <w:rPr>
          <w:b/>
          <w:bCs/>
          <w:lang w:val="el" w:eastAsia="el"/>
        </w:rPr>
        <w:t>ΚΩΝΣΤΑΝΤΙΝΟΣ ΣΚΑΝΔΑΛΙΔΗΣ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