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53</w:t>
      </w:r>
    </w:p>
    <w:p>
      <w:pPr>
        <w:pStyle w:val="PreambelText"/>
        <w:spacing w:before="240" w:after="240"/>
        <w:rPr>
          <w:lang w:val="el" w:eastAsia="el"/>
        </w:rPr>
      </w:pPr>
      <w:r>
        <w:rPr>
          <w:lang w:val="el" w:eastAsia="el"/>
        </w:rPr>
        <w:t>12 Μαρτίου 2012</w:t>
      </w:r>
    </w:p>
    <w:p>
      <w:pPr>
        <w:pStyle w:val="enacting"/>
        <w:spacing w:before="120" w:after="0"/>
        <w:rPr>
          <w:lang w:val="el" w:eastAsia="el"/>
        </w:rPr>
      </w:pPr>
      <w:r>
        <w:rPr>
          <w:lang w:val="el" w:eastAsia="el"/>
        </w:rPr>
        <w:t>ΠΕΡΙΕΧΟΜΕΝΑ</w:t>
      </w:r>
      <w:r>
        <w:rPr>
          <w:lang w:val="el" w:eastAsia="el"/>
        </w:rPr>
        <w:br/>
      </w:r>
      <w:r>
        <w:rPr>
          <w:b/>
          <w:bCs/>
          <w:lang w:val="el" w:eastAsia="el"/>
        </w:rPr>
        <w:t>ΠΡΟΕΔΡΙΚΑ ΔΙΑΤΑΓΜΑΤΑ</w:t>
      </w:r>
    </w:p>
    <w:p>
      <w:pPr>
        <w:pStyle w:val="PreambelText"/>
        <w:spacing w:before="240" w:after="240"/>
        <w:rPr>
          <w:lang w:val="el" w:eastAsia="el"/>
        </w:rPr>
      </w:pPr>
      <w:r>
        <w:rPr>
          <w:lang w:val="el" w:eastAsia="el"/>
        </w:rPr>
        <w:t>24. Διατήρηση σε ισχύ του υφιστάμενου ειδικού συστήματος αξιολόγησης και του συστήματος επιλογής προϊσταμένων οργανικών μονάδων του προσωπικού Φύλαξης και Εξωτερικής Φρούρησης των Καταστημάτων Κράτησης 1</w:t>
      </w:r>
    </w:p>
    <w:p>
      <w:pPr>
        <w:pStyle w:val="PreambelText"/>
        <w:spacing w:before="240" w:after="240"/>
        <w:rPr>
          <w:lang w:val="el" w:eastAsia="el"/>
        </w:rPr>
      </w:pPr>
      <w:r>
        <w:rPr>
          <w:lang w:val="el" w:eastAsia="el"/>
        </w:rPr>
        <w:t>25. Ηλεκτρονική κατάθεση δικογράφων, χορήγηση πιστοποιητικών και λοιπών εγγράφων από τα Δικαστήρια της χώρας 2</w:t>
      </w:r>
    </w:p>
    <w:p>
      <w:pPr>
        <w:pStyle w:val="enacting"/>
        <w:spacing w:before="120" w:after="0"/>
        <w:rPr>
          <w:lang w:val="el" w:eastAsia="el"/>
        </w:rPr>
      </w:pPr>
      <w:r>
        <w:rPr>
          <w:b/>
          <w:bCs/>
          <w:lang w:val="el" w:eastAsia="el"/>
        </w:rPr>
        <w:t>ΠΡΟΕΔΡ</w:t>
      </w:r>
      <w:r>
        <w:rPr>
          <w:b/>
          <w:bCs/>
          <w:u w:val="single"/>
          <w:lang w:val="el" w:eastAsia="el"/>
        </w:rPr>
        <w:t>ΙΚΑ ΔΙΑΤ</w:t>
      </w:r>
      <w:r>
        <w:rPr>
          <w:b/>
          <w:bCs/>
          <w:lang w:val="el" w:eastAsia="el"/>
        </w:rPr>
        <w:t>ΑΓΜΑΤΑ</w:t>
      </w:r>
    </w:p>
    <w:p>
      <w:pPr>
        <w:pStyle w:val="PreambelText"/>
        <w:spacing w:before="240" w:after="240"/>
        <w:rPr>
          <w:lang w:val="el" w:eastAsia="el"/>
        </w:rPr>
      </w:pPr>
      <w:r>
        <w:rPr>
          <w:lang w:val="el" w:eastAsia="el"/>
        </w:rPr>
        <w:t>(1)</w:t>
      </w:r>
    </w:p>
    <w:p>
      <w:pPr>
        <w:pStyle w:val="enacting"/>
        <w:spacing w:before="120" w:after="0"/>
        <w:rPr>
          <w:lang w:val="el" w:eastAsia="el"/>
        </w:rPr>
      </w:pPr>
      <w:r>
        <w:rPr>
          <w:lang w:val="el" w:eastAsia="el"/>
        </w:rPr>
        <w:t>ΠΡΟΕΔΡΙΚΟ ΔΙΑΤΑΓΜΑ ΥΠ’ ΑΡΙΘΜ. 24</w:t>
      </w:r>
    </w:p>
    <w:p>
      <w:pPr>
        <w:pStyle w:val="PreambelText"/>
        <w:spacing w:before="240" w:after="240"/>
        <w:rPr>
          <w:lang w:val="el" w:eastAsia="el"/>
        </w:rPr>
      </w:pPr>
      <w:r>
        <w:rPr>
          <w:lang w:val="el" w:eastAsia="el"/>
        </w:rPr>
        <w:t>Διατήρηση σε ισχύ του υφιστάμενου ειδικού συστήματος αξιολόγησης και του συστήματος επιλογής προϊσταμένων οργανικών μονάδων του προσωπικού Φύλαξης και Εξωτερικής Φρούρησης των Καταστημάτων Κράτησης.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 Του άρθρου 7 παρ. 5 του Ν. 4024/2011 (226 Α΄), όπως τροποποιήθηκε από το άρθρο 1 παρ. 12 του Ν. 4038/2012 (14 Α΄).</w:t>
      </w:r>
    </w:p>
    <w:p>
      <w:pPr>
        <w:pStyle w:val="PreambelText"/>
        <w:spacing w:before="240" w:after="240"/>
        <w:rPr>
          <w:lang w:val="el" w:eastAsia="el"/>
        </w:rPr>
      </w:pPr>
      <w:r>
        <w:rPr>
          <w:lang w:val="el" w:eastAsia="el"/>
        </w:rPr>
        <w:t>2) Του άρθρου 49 του Ν. 2721/1999 (112 Α΄), όπως ισχύει.</w:t>
      </w:r>
    </w:p>
    <w:p>
      <w:pPr>
        <w:pStyle w:val="PreambelText"/>
        <w:spacing w:before="240" w:after="240"/>
        <w:rPr>
          <w:lang w:val="el" w:eastAsia="el"/>
        </w:rPr>
      </w:pPr>
      <w:r>
        <w:rPr>
          <w:lang w:val="el" w:eastAsia="el"/>
        </w:rPr>
        <w:t>3) Του άρθρου 26 του Ν. 3727/2008 (257 Α΄).</w:t>
      </w:r>
    </w:p>
    <w:p>
      <w:pPr>
        <w:pStyle w:val="PreambelText"/>
        <w:spacing w:before="240" w:after="240"/>
        <w:rPr>
          <w:lang w:val="el" w:eastAsia="el"/>
        </w:rPr>
      </w:pPr>
      <w:r>
        <w:rPr>
          <w:lang w:val="el" w:eastAsia="el"/>
        </w:rPr>
        <w:t>4) Των άρθρων 3 και 6 του Π.Δ. 215/2006 (217 Α΄).</w:t>
      </w:r>
    </w:p>
    <w:p>
      <w:pPr>
        <w:pStyle w:val="PreambelText"/>
        <w:spacing w:before="240" w:after="240"/>
        <w:rPr>
          <w:lang w:val="el" w:eastAsia="el"/>
        </w:rPr>
      </w:pPr>
      <w:r>
        <w:rPr>
          <w:lang w:val="el" w:eastAsia="el"/>
        </w:rPr>
        <w:t>5) Του άρθρου 90 του Κώδικα Νομοθεσίας για την «Κυβέρνηση και τα Κυβερνητικά Όργανα» που κυρώθηκε με το άρθρο πρώτο του Π/Δ/τος 63/2005 (98 Α΄).</w:t>
      </w:r>
    </w:p>
    <w:p>
      <w:pPr>
        <w:pStyle w:val="PreambelText"/>
        <w:spacing w:before="240" w:after="240"/>
        <w:rPr>
          <w:lang w:val="el" w:eastAsia="el"/>
        </w:rPr>
      </w:pPr>
      <w:r>
        <w:rPr>
          <w:lang w:val="el" w:eastAsia="el"/>
        </w:rPr>
        <w:t>7) Την υπ’ αριθμ. 23564/25.11.2011 κοινή απόφαση του Πρωθυπουργού και του Υπουργού Διοικητικής Μεταρρύθμισης και Ηλεκτρονικής Διακυβέρνησης «Ανάθεση αρμοδιοτήτων στους Υφυπουργούς Διοικητικής Μεταρρύθμισης και Ηλεκτρονικής Διακυβέρνησης, Κωνσταντίνο Ρόβλια και Παντελή Τζωρτζάκη» (ΦΕΚ 2741 Β΄).</w:t>
      </w:r>
    </w:p>
    <w:p>
      <w:pPr>
        <w:pStyle w:val="PreambelText"/>
        <w:spacing w:before="240" w:after="240"/>
        <w:rPr>
          <w:lang w:val="el" w:eastAsia="el"/>
        </w:rPr>
      </w:pPr>
      <w:r>
        <w:rPr>
          <w:lang w:val="el" w:eastAsia="el"/>
        </w:rPr>
        <w:t>8) Την υπ’ αριθμ. 99577/25.11.2011 κοινή απόφαση του Πρωθυπουργού και του Υπουργού Δικαιοσύνης, Διαφάνειας και Ανθρωπίνων Δικαιωμάτων «Ανάθεση αρμοδιοτήτων στον υφυπουργό Δικαιοσύνης, Διαφάνειας και Ανθρωπίνων Δικαιωμάτων Γεώργιο Πεταλωτή» (ΦΕΚ 2741 Β΄).</w:t>
      </w:r>
    </w:p>
    <w:p>
      <w:pPr>
        <w:pStyle w:val="PreambelText"/>
        <w:spacing w:before="240" w:after="240"/>
        <w:rPr>
          <w:lang w:val="el" w:eastAsia="el"/>
        </w:rPr>
      </w:pPr>
      <w:r>
        <w:rPr>
          <w:lang w:val="el" w:eastAsia="el"/>
        </w:rPr>
        <w:t>Β. Το γεγονός ότι το παρόν διάταγμα δεν προκαλεί δαπάνη σε βάρος του Κρατικού Προϋπολογισμού.</w:t>
      </w:r>
    </w:p>
    <w:p>
      <w:pPr>
        <w:pStyle w:val="PreambelText"/>
        <w:spacing w:before="240" w:after="240"/>
        <w:rPr>
          <w:lang w:val="el" w:eastAsia="el"/>
        </w:rPr>
      </w:pPr>
      <w:r>
        <w:rPr>
          <w:lang w:val="el" w:eastAsia="el"/>
        </w:rPr>
        <w:t>Γ. Τη γνωμοδότηση του Συμβουλίου της Επικρατείας, υπ’ αριθμ. Δ 18/2012 μετά από πρόταση των Υφυπουργών Διοικητικής Μεταρρύθμισης και Ηλεκτρονικής Διακυβέρνησης και Δικαιοσύνης, Διαφάνειας και Ανθρωπίνων Δικαιωμάτων, 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Αρχές - Προϋποθέσεις</w:t>
      </w:r>
    </w:p>
    <w:p>
      <w:pPr>
        <w:spacing w:before="240" w:after="240"/>
        <w:rPr>
          <w:lang w:val="el" w:eastAsia="el"/>
        </w:rPr>
      </w:pPr>
      <w:r>
        <w:rPr>
          <w:lang w:val="el" w:eastAsia="el"/>
        </w:rPr>
        <w:t>Η καθιέρωση της ηλεκτρονικής κατάθεσης δικογράφων έχει ως στόχους την αποφόρτιση των υπηρεσιών των δικαστηρίων, την απλοποίηση και ενοποίηση των διαδικασιών κατάθεσης δικογράφων και πληρωμής των προβλε- πόμενων πόρων και τη διευκόλυνση των δικηγόρων κατά την παροχή των υπηρεσιών τους στους εντολείς τους.</w:t>
      </w:r>
    </w:p>
    <w:p>
      <w:pPr>
        <w:spacing w:before="240" w:after="240"/>
        <w:rPr>
          <w:lang w:val="el" w:eastAsia="el"/>
        </w:rPr>
      </w:pPr>
      <w:r>
        <w:rPr>
          <w:lang w:val="el" w:eastAsia="el"/>
        </w:rPr>
        <w:t>Οι αρχές και προϋποθέσεις, στις οποίες βασίζεται η ηλεκτρονική κατάθεση είναι οι ακόλουθες:</w:t>
      </w:r>
    </w:p>
    <w:p>
      <w:pPr>
        <w:spacing w:before="240" w:after="240"/>
        <w:rPr>
          <w:lang w:val="el" w:eastAsia="el"/>
        </w:rPr>
      </w:pPr>
      <w:r>
        <w:rPr>
          <w:lang w:val="el" w:eastAsia="el"/>
        </w:rPr>
        <w:t>α. Ενιαίο σύστημα ηλεκτρονικής κατάθεσης σε όλα τα πολιτικά δικαστήρια και τους δικηγορικούς συλλόγους της χώρας.</w:t>
      </w:r>
    </w:p>
    <w:p>
      <w:pPr>
        <w:spacing w:before="240" w:after="240"/>
        <w:rPr>
          <w:lang w:val="el" w:eastAsia="el"/>
        </w:rPr>
      </w:pPr>
      <w:r>
        <w:rPr>
          <w:lang w:val="el" w:eastAsia="el"/>
        </w:rPr>
        <w:t>β. Για την ηλεκτρονική κατάθεση δικογράφου απαιτείται η χρήση προηγμένης ηλεκτρονικής υπογραφής.</w:t>
      </w:r>
    </w:p>
    <w:p>
      <w:pPr>
        <w:spacing w:before="240" w:after="240"/>
        <w:rPr>
          <w:lang w:val="el" w:eastAsia="el"/>
        </w:rPr>
      </w:pPr>
      <w:r>
        <w:rPr>
          <w:lang w:val="el" w:eastAsia="el"/>
        </w:rPr>
        <w:t>γ. Κατά την ηλεκτρονική κατάθεση δικογράφου θα διασφαλίζεται η διαφάνεια, ο έλεγχος της ορθότητας της διαδικασίας, η αξιοπιστία κάθε επί μέρους ενέργειας και η εξατομικευμένη ενημέρωση όλων των εμπλεκόμενων φυσικών προσώπων και φορέων.</w:t>
      </w:r>
    </w:p>
    <w:p>
      <w:pPr>
        <w:spacing w:before="240" w:after="240"/>
        <w:rPr>
          <w:lang w:val="el" w:eastAsia="el"/>
        </w:rPr>
      </w:pPr>
      <w:r>
        <w:rPr>
          <w:lang w:val="el" w:eastAsia="el"/>
        </w:rPr>
        <w:t>δ. Διασφαλίζεται η συνέχεια της παρεχόμενης υπηρεσίας μέσω της δυνατότητας παρακολούθησης της πορείας της υπόθεσης μέχρι τη δημοσίευση της απόφασης και την άσκηση ενδίκων μέσων.</w:t>
      </w:r>
    </w:p>
    <w:p>
      <w:pPr>
        <w:spacing w:before="240" w:after="240"/>
        <w:rPr>
          <w:lang w:val="el" w:eastAsia="el"/>
        </w:rPr>
      </w:pPr>
      <w:r>
        <w:rPr>
          <w:lang w:val="el" w:eastAsia="el"/>
        </w:rPr>
        <w:t>ε. Οι ηλεκτρονικές υπηρεσίες κατάθεσης υποστηρίζονται τεχνικά από τους εμπλεκόμενους φορείς.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ηλεκτρονικής κατάθεσης</w:t>
      </w:r>
    </w:p>
    <w:p>
      <w:pPr>
        <w:pStyle w:val="MainText"/>
        <w:spacing w:before="120" w:after="0"/>
        <w:rPr>
          <w:lang w:val="el" w:eastAsia="el"/>
        </w:rPr>
      </w:pPr>
      <w:r>
        <w:rPr>
          <w:b/>
          <w:bCs/>
          <w:lang w:val="el" w:eastAsia="el"/>
        </w:rPr>
        <w:t>1.</w:t>
      </w:r>
      <w:r>
        <w:rPr>
          <w:lang w:val="el" w:eastAsia="el"/>
        </w:rPr>
        <w:t xml:space="preserve"> Ο δικηγόρος για την εκκίνηση της διαδικασίας της ηλεκτρονικής κατάθεσης δικογράφου εισάγει τον αριθμό Μητρώου του οικείου Δικηγορικού Συλλόγου, μέσω του οποίου ταυτοποιούνται και εμφανίζονται αυτόματα τα υπόλοιπα προσωπικά στοιχεία του, μεταξύ των οποίων ο Aριθμός Φορολογικού Μητρώου (Α.Φ.Μ.) και ο Αριθμός Μητρώου Κοινωνικής Ασφάλισης (Α.Μ.Κ.Α). Στη συνέχεια λαμβάνουν χώρα οι ενέργειες που περιγράφονται στην παράγραφο 2.</w:t>
      </w:r>
    </w:p>
    <w:p>
      <w:pPr>
        <w:pStyle w:val="MainText"/>
        <w:spacing w:before="120" w:after="0"/>
        <w:rPr>
          <w:lang w:val="el" w:eastAsia="el"/>
        </w:rPr>
      </w:pPr>
      <w:r>
        <w:rPr>
          <w:b/>
          <w:bCs/>
          <w:lang w:val="el" w:eastAsia="el"/>
        </w:rPr>
        <w:t>2α.</w:t>
      </w:r>
      <w:r>
        <w:rPr>
          <w:lang w:val="el" w:eastAsia="el"/>
        </w:rPr>
        <w:t xml:space="preserve"> Καταχωρίζει τα στοιχεία του εντολέα του, το είδος της διαδικασίας και τον αριθμό των αντιγράφων που επιθυμεί να του χορηγηθούν και πραγματοποιεί την ηλεκτρονική πληρωμή, για την έκδοση του γραμματίου προκαταβολής του αρμοδίου Δικηγορικού Συλλόγου και των προβλεπόμενων ενσήμων και παραβόλων υπέρ του Ενιαίου Ταμείου Ανεξάρτητα Απασχολούμενων (Ε.Τ.Α.Α), του Ταμείου Χρηματοδοτήσεως Δικαστικών Κτιρίων (ΤΑ. Χ.ΔΙ.Κ) και του Δημοσίου, μετά δε τη δέσμευση των αντίστοιχων ποσών από τον τραπεζικό λογαριασμό του απευθύνεται στο αρμόδιο Δικαστήριο.</w:t>
      </w:r>
    </w:p>
    <w:p>
      <w:pPr>
        <w:spacing w:before="240" w:after="240"/>
        <w:rPr>
          <w:lang w:val="el" w:eastAsia="el"/>
        </w:rPr>
      </w:pPr>
      <w:r>
        <w:rPr>
          <w:lang w:val="el" w:eastAsia="el"/>
        </w:rPr>
        <w:t>β. Επιλέγει το είδος του δικογράφου και το αντικείμενο της διαφοράς από τους αντίστοιχους πίνακες και στη συνέχεια επιλέγει ημερομηνία δικασίμου και αριθμό πινακίου και συμπληρώνει τα στοιχεία των διαδίκων, σύμφωνα με τους όρους που καθορίζει ο Κανονισμός του Δικαστηρίου και ο Κώδικας Οργανισμού Δικαστηρίων (ν. 1756/1988 ΦΕΚ Α΄ 35/26.2.1988).</w:t>
      </w:r>
    </w:p>
    <w:p>
      <w:pPr>
        <w:spacing w:before="240" w:after="240"/>
        <w:rPr>
          <w:lang w:val="el" w:eastAsia="el"/>
        </w:rPr>
      </w:pPr>
      <w:r>
        <w:rPr>
          <w:lang w:val="el" w:eastAsia="el"/>
        </w:rPr>
        <w:t>γ. Συμπληρώνει τα προαιρετικά πεδία όποτε είναι αναγκαίο κατά περίπτωση.</w:t>
      </w:r>
    </w:p>
    <w:p>
      <w:pPr>
        <w:spacing w:before="240" w:after="240"/>
        <w:rPr>
          <w:lang w:val="el" w:eastAsia="el"/>
        </w:rPr>
      </w:pPr>
      <w:r>
        <w:rPr>
          <w:lang w:val="el" w:eastAsia="el"/>
        </w:rPr>
        <w:t>δ. Μετά την ολοκλήρωση της καταχώρισης όλων των αναγκαίων στοιχείων, επισυνάπτει το σώμα του δικογράφου, που φέρει την προηγμένη ηλεκτρονική του υπογραφή, και το αποστέλλει.</w:t>
      </w:r>
    </w:p>
    <w:p>
      <w:pPr>
        <w:spacing w:before="240" w:after="240"/>
        <w:rPr>
          <w:lang w:val="el" w:eastAsia="el"/>
        </w:rPr>
      </w:pPr>
      <w:r>
        <w:rPr>
          <w:lang w:val="el" w:eastAsia="el"/>
        </w:rPr>
        <w:t>ε. Η διαδικασία ολοκληρώνεται με την αποστολή απάντησης από τη γραμματεία του δικαστηρίου, η οποία συνοδεύεται από τα αντίγραφα με την έκθεση κατάθεσης, που φέρει ημερομηνία, ώρα κατάθεσης και προηγμένη ηλεκτρονική υπογραφή. Χρόνος κατάθεσης θεωρείται η ημέρα και ώρα της κατά το προηγούμενο εδάφιο αποστολής απάντησης με αντίγραφο της έκθεσης κατάθεσης. Το ηλεκτρονικό δικόγραφο με την έκθεση κατάθεσης αναρτάται ταυτόχρονα στη σελίδα κατάθεσης της ιστοσελίδας του δικαστηρίου, σε σημείο, στο οποίο διαθέτει ασφαλή πρόσβαση μόνον ο καταθέσας δικηγόρος.</w:t>
      </w:r>
    </w:p>
    <w:p>
      <w:pPr>
        <w:spacing w:before="240" w:after="240"/>
        <w:rPr>
          <w:lang w:val="el" w:eastAsia="el"/>
        </w:rPr>
      </w:pPr>
      <w:r>
        <w:rPr>
          <w:lang w:val="el" w:eastAsia="el"/>
        </w:rPr>
        <w:t>στ. Το εκτύπωμα του δικογράφου και της έκθεσης κατάθεσης, που αποστέλλονται από το δικαστήριο στον δικηγόρο και φέρουν προηγμένη ηλεκτρονική υπογραφή, λογίζονται ως επίσημο αντίγραφο.</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Αρμοδιότητες Δικηγορικών Συλλόγων</w:t>
      </w:r>
    </w:p>
    <w:p>
      <w:pPr>
        <w:spacing w:before="240" w:after="240"/>
        <w:rPr>
          <w:lang w:val="el" w:eastAsia="el"/>
        </w:rPr>
      </w:pPr>
      <w:r>
        <w:rPr>
          <w:lang w:val="el" w:eastAsia="el"/>
        </w:rPr>
        <w:t>Ο αρμόδιος Δικηγορικός Σύλλογος στο πλαίσιο της διαγραφόμενης στο άρθρο 2 διαδικασίας: α. Ταυτοποι- εί τον δικηγόρο και ελέγχει εάν έχει, σύμφωνα με τις κείμενες διατάξεις, το δικαίωμα να καταθέσει το συγκεκριμένο δικόγραφο, διαπιστώνει την έλλειψη ασυμβίβαστου ή άλλου κωλύματος ή πειθαρχικής κύρωσης και επιτρέπει στο δικηγόρο να συνεχίσει τη διαδικασία της κατάθεσης.</w:t>
      </w:r>
    </w:p>
    <w:p>
      <w:pPr>
        <w:spacing w:before="240" w:after="240"/>
        <w:rPr>
          <w:lang w:val="el" w:eastAsia="el"/>
        </w:rPr>
      </w:pPr>
      <w:r>
        <w:rPr>
          <w:lang w:val="el" w:eastAsia="el"/>
        </w:rPr>
        <w:t>β. Υποστηρίζει τεχνικά τις συναλλαγές για την έκδοση του γραμματίου προκαταβολής και την ηλεκτρονική πληρωμή των προβλεπόμενων ενσήμων και παραβόλων υπέρ του Ενιαίου Ταμείου Ανεξάρτητα Απασχολούμενων (Ε.Τ.Α.Α), του Ταμείου Χρηματοδοτήσεως Δικαστικών Κτιρίων (ΤΑ.Χ.ΔΙ.Κ) και Δημοσίου.</w:t>
      </w:r>
    </w:p>
    <w:p>
      <w:pPr>
        <w:spacing w:before="240" w:after="240"/>
        <w:rPr>
          <w:lang w:val="el" w:eastAsia="el"/>
        </w:rPr>
      </w:pPr>
      <w:r>
        <w:rPr>
          <w:lang w:val="el" w:eastAsia="el"/>
        </w:rPr>
        <w:t>γ. Διενεργεί την ηλεκτρονική είσπραξη των αντίστοιχων ποσών και τον διαφανή και ακριβή επιμερισμό και απόδοσή τους στους δικαιούχους φορείς.</w:t>
      </w:r>
    </w:p>
    <w:p>
      <w:pPr>
        <w:spacing w:before="240" w:after="240"/>
        <w:rPr>
          <w:lang w:val="el" w:eastAsia="el"/>
        </w:rPr>
      </w:pPr>
      <w:r>
        <w:rPr>
          <w:lang w:val="el" w:eastAsia="el"/>
        </w:rPr>
        <w:t>δ. Διαβιβάζει τα απαιτούμενα νομιμοποιητικά στοιχεία στο αρμόδιο Δικαστήριο ώστε να επιτραπεί στον πιστοποιούμενο δικηγόρο να ολοκληρώσει την ηλεκτρονική κατάθεση δικογράφου.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Αρμοδιότητες Δικαστηρίων</w:t>
      </w:r>
    </w:p>
    <w:p>
      <w:pPr>
        <w:spacing w:before="240" w:after="240"/>
        <w:rPr>
          <w:lang w:val="el" w:eastAsia="el"/>
        </w:rPr>
      </w:pPr>
      <w:r>
        <w:rPr>
          <w:lang w:val="el" w:eastAsia="el"/>
        </w:rPr>
        <w:t>Το αρμόδιο για την ηλεκτρονική κατάθεση δικογράφου Δικαστήριο:</w:t>
      </w:r>
    </w:p>
    <w:p>
      <w:pPr>
        <w:spacing w:before="240" w:after="240"/>
        <w:rPr>
          <w:lang w:val="el" w:eastAsia="el"/>
        </w:rPr>
      </w:pPr>
      <w:r>
        <w:rPr>
          <w:lang w:val="el" w:eastAsia="el"/>
        </w:rPr>
        <w:t>α. Υποδέχεται από το ενιαίο σύστημα των Δικηγορικών Συλλόγων όλες τις απαιτούμενες πληροφορίες που διασφαλίζουν την εγκυρότητα της επιχειρούμενης κατάθεσης.</w:t>
      </w:r>
    </w:p>
    <w:p>
      <w:pPr>
        <w:spacing w:before="240" w:after="240"/>
        <w:rPr>
          <w:lang w:val="el" w:eastAsia="el"/>
        </w:rPr>
      </w:pPr>
      <w:r>
        <w:rPr>
          <w:lang w:val="el" w:eastAsia="el"/>
        </w:rPr>
        <w:t>β. Υποδέχεται το συνημμένο δικόγραφο.</w:t>
      </w:r>
    </w:p>
    <w:p>
      <w:pPr>
        <w:spacing w:before="240" w:after="240"/>
        <w:rPr>
          <w:lang w:val="el" w:eastAsia="el"/>
        </w:rPr>
      </w:pPr>
      <w:r>
        <w:rPr>
          <w:lang w:val="el" w:eastAsia="el"/>
        </w:rPr>
        <w:t>γ. Ελέγχει την προηγμένη ηλεκτρονική υπογραφή.</w:t>
      </w:r>
    </w:p>
    <w:p>
      <w:pPr>
        <w:spacing w:before="240" w:after="240"/>
        <w:rPr>
          <w:lang w:val="el" w:eastAsia="el"/>
        </w:rPr>
      </w:pPr>
      <w:r>
        <w:rPr>
          <w:lang w:val="el" w:eastAsia="el"/>
        </w:rPr>
        <w:t>δ. Επιτρέπει την επιλογή δικασίμου και αριθμού πινακίου.</w:t>
      </w:r>
    </w:p>
    <w:p>
      <w:pPr>
        <w:spacing w:before="240" w:after="240"/>
        <w:rPr>
          <w:lang w:val="el" w:eastAsia="el"/>
        </w:rPr>
      </w:pPr>
      <w:r>
        <w:rPr>
          <w:lang w:val="el" w:eastAsia="el"/>
        </w:rPr>
        <w:t>ε. Αποστέλλει τα αντίγραφα που ζητήθηκαν μαζί με την έκθεση κατάθεσης, η οποία φέρει ημερομηνία, ώρα κατάθεσης και προηγμένη ηλεκτρονική υπογραφή.</w:t>
      </w:r>
    </w:p>
    <w:p>
      <w:pPr>
        <w:spacing w:before="240" w:after="240"/>
        <w:rPr>
          <w:lang w:val="el" w:eastAsia="el"/>
        </w:rPr>
      </w:pPr>
      <w:r>
        <w:rPr>
          <w:lang w:val="el" w:eastAsia="el"/>
        </w:rPr>
        <w:t>στ. Ενημερώνει το ενιαίο σύστημα των Δικηγορικών Συλλόγων για την κατάθεση του δικογράφου.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Χορήγηση πιστοποιητικών</w:t>
      </w:r>
    </w:p>
    <w:p>
      <w:pPr>
        <w:pStyle w:val="MainText"/>
        <w:spacing w:before="120" w:after="0"/>
        <w:rPr>
          <w:lang w:val="el" w:eastAsia="el"/>
        </w:rPr>
      </w:pPr>
      <w:r>
        <w:rPr>
          <w:b/>
          <w:bCs/>
          <w:lang w:val="el" w:eastAsia="el"/>
        </w:rPr>
        <w:t>1.</w:t>
      </w:r>
      <w:r>
        <w:rPr>
          <w:lang w:val="el" w:eastAsia="el"/>
        </w:rPr>
        <w:t xml:space="preserve"> Τα Δικαστήρια μπορούν να χορηγούν σε ψηφιακή μορφή κάθε είδους πιστοποιητικά, βεβαιώσεις ή άλλα έγγραφα κατόπιν αιτήσεων δικηγόρων.</w:t>
      </w:r>
    </w:p>
    <w:p>
      <w:pPr>
        <w:pStyle w:val="MainText"/>
        <w:spacing w:before="120" w:after="0"/>
        <w:rPr>
          <w:lang w:val="el" w:eastAsia="el"/>
        </w:rPr>
      </w:pPr>
      <w:r>
        <w:rPr>
          <w:b/>
          <w:bCs/>
          <w:lang w:val="el" w:eastAsia="el"/>
        </w:rPr>
        <w:t>2.</w:t>
      </w:r>
      <w:r>
        <w:rPr>
          <w:lang w:val="el" w:eastAsia="el"/>
        </w:rPr>
        <w:t xml:space="preserve"> Ο δικηγόρος καταχωρεί τα αναγκαία στοιχεία για την ταυτοποίησή του, όπως αναφέρονται στην παράγραφο 1 του άρθρου 2, πραγματοποιεί την ηλεκτρονική πληρωμή των προβλεπόμενων πόρων για τη σήμανση της αίτησης και του ζητούμενου εγγράφου, όπως προ- βλέπεται στην περίπτωση α της παραγράφου 2 του άρθρου 2, επισυνάπτει την αίτηση που φέρει προηγμένη ηλεκτρονική υπογραφή και την αποστέλλει στο αρμόδιο δικαστήριο.</w:t>
      </w:r>
    </w:p>
    <w:p>
      <w:pPr>
        <w:pStyle w:val="MainText"/>
        <w:spacing w:before="120" w:after="0"/>
        <w:rPr>
          <w:lang w:val="el" w:eastAsia="el"/>
        </w:rPr>
      </w:pPr>
      <w:r>
        <w:rPr>
          <w:b/>
          <w:bCs/>
          <w:lang w:val="el" w:eastAsia="el"/>
        </w:rPr>
        <w:t>3.</w:t>
      </w:r>
      <w:r>
        <w:rPr>
          <w:lang w:val="el" w:eastAsia="el"/>
        </w:rPr>
        <w:t xml:space="preserve"> Το Δικαστήριο αποστέλλει στο δικηγόρο το αιτηθέν έγγραφο σε ψηφιακή μορφή με προηγμένη ηλεκτρονική υπογραφή. Το εκτύπωμα του πιστοποιητικού, που απο- στέλλεται από το δικαστήριο στο δικηγόρο και φέρει προηγμένη ηλεκτρονική υπογραφή, λογίζεται ως επίσημο αντίγραφο.</w:t>
      </w:r>
    </w:p>
    <w:p>
      <w:pPr>
        <w:pStyle w:val="MainText"/>
        <w:spacing w:before="120" w:after="0"/>
        <w:rPr>
          <w:lang w:val="el" w:eastAsia="el"/>
        </w:rPr>
      </w:pPr>
      <w:r>
        <w:rPr>
          <w:b/>
          <w:bCs/>
          <w:lang w:val="el" w:eastAsia="el"/>
        </w:rPr>
        <w:t>4.</w:t>
      </w:r>
      <w:r>
        <w:rPr>
          <w:lang w:val="el" w:eastAsia="el"/>
        </w:rPr>
        <w:t xml:space="preserve"> Αίτηση για τη χορήγηση των πιο πάνω εγγράφων μπορεί να απευθύνει προς στα Δικαστήρια σε ηλεκτρονική μορφή κάθε πολίτης, χωρίς να προβεί σε ηλεκτρονική πληρωμή της προβλεπόμενης σήμανσης. Το αιτηθέν έγγραφο χορηγείται σε έντυπη μορφή και κατά την παραλαβή από τον αιτούντα επικολλάται η σήμανση των προβλεπόμενων πόρων στην αίτηση και το αιτηθέν έγγραφο.</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Αυτόματη ενημέρωση</w:t>
      </w:r>
    </w:p>
    <w:p>
      <w:pPr>
        <w:spacing w:before="240" w:after="240"/>
        <w:rPr>
          <w:lang w:val="el" w:eastAsia="el"/>
        </w:rPr>
      </w:pPr>
      <w:r>
        <w:rPr>
          <w:lang w:val="el" w:eastAsia="el"/>
        </w:rPr>
        <w:t>Εάν προκληθεί τεχνικό σφάλμα κατά τη ροή της ηλεκτρονικής κατάθεσης δικογράφου, το σύστημα ενημερώνει αυτόματα το δικηγόρο ότι δεν είναι αποδεκτή η ολοκλήρωση της διαδικασίας και πρέπει να την επιχειρήσει εκ νέου, αν το επιθυμεί.</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Τήρηση ηλεκτρονικού αρχείου</w:t>
      </w:r>
    </w:p>
    <w:p>
      <w:pPr>
        <w:spacing w:before="240" w:after="240"/>
        <w:rPr>
          <w:lang w:val="el" w:eastAsia="el"/>
        </w:rPr>
      </w:pPr>
      <w:r>
        <w:rPr>
          <w:lang w:val="el" w:eastAsia="el"/>
        </w:rPr>
        <w:t>Τα Δικαστήρια και οι Εισαγγελίες τηρούν ηλεκτρονικό αρχείο των δικογράφων που κατατίθενται, των εκθέσεων κατάθεσης και κάθε άλλου συναφούς ηλεκτρονικού εγγράφου που σχετίζεται με την κάθε υπόθεση, σύμφωνα με τα προβλεπόμενα στη διάταξη της παραγράφου 4 του άρθρου 42 του ν. 3659/2008.</w:t>
      </w:r>
    </w:p>
    <w:p>
      <w:pPr>
        <w:spacing w:before="240" w:after="240"/>
        <w:rPr>
          <w:lang w:val="el" w:eastAsia="el"/>
        </w:rPr>
      </w:pPr>
      <w:r>
        <w:rPr>
          <w:lang w:val="el" w:eastAsia="el"/>
        </w:rPr>
        <w:t>Η αναζήτηση των πληροφοριών από το ηλεκτρονικό αρχείο πραγματοποιείται κατά βάση με τη χρήση αλφαβητικού ευρετηρίου των διαδίκων και αριθμητικού ευρετηρίου των αριθμών κατάθεσης.</w:t>
      </w:r>
    </w:p>
    <w:p>
      <w:pPr>
        <w:spacing w:before="240" w:after="240"/>
        <w:rPr>
          <w:lang w:val="el" w:eastAsia="el"/>
        </w:rPr>
      </w:pPr>
      <w:r>
        <w:rPr>
          <w:lang w:val="el" w:eastAsia="el"/>
        </w:rPr>
        <w:t>Τα τηρούμενα ηλεκτρονικά αρχεία πρέπει να πληρούν τους όρους και προϋποθέσεις ασφαλείας και να εγγυώνται ιδίως την ακεραιότητα, αυθεντικότητα, εμπιστευτικότητα, και την ποιότητα των εγγράφων, καθώς και των δεδομένων και πληροφοριών που περιέχονται σε αυτά.</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Διατάγματος αρχίζει από τη δημοσίευσή του στην Εφημερίδα της Κυβερνήσεως.</w:t>
      </w:r>
    </w:p>
    <w:p>
      <w:pPr>
        <w:spacing w:before="240" w:after="240"/>
        <w:rPr>
          <w:lang w:val="el" w:eastAsia="el"/>
        </w:rPr>
      </w:pPr>
      <w:r>
        <w:rPr>
          <w:lang w:val="el" w:eastAsia="el"/>
        </w:rPr>
        <w:t>Στον Υπουργό Δικαιοσύνης, Διαφάνειας και Ανθρωπίνων Δικαιωμάτων αναθέτουμε τη δημοσίευση και εκτέλεση του παρόντος Διατάγματος.</w:t>
      </w:r>
    </w:p>
    <w:p>
      <w:pPr>
        <w:spacing w:before="240" w:after="240"/>
        <w:rPr>
          <w:lang w:val="el" w:eastAsia="el"/>
        </w:rPr>
      </w:pPr>
      <w:r>
        <w:rPr>
          <w:lang w:val="el" w:eastAsia="el"/>
        </w:rPr>
        <w:t>Αθήνα 9 Μαρτίου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ΔΙΚΑΙΟΣΥΝΗΣ, ΔΙΑΦΑΝΕΙΑΣ ΟΙΚΟΝΟΜΙΚΩΝ ΚΑΙ ΑΝΘΡΩΠΙΝΩΝ ΔΙΚΑΙΩΜΑΤΩΝ</w:t>
      </w:r>
    </w:p>
    <w:p>
      <w:pPr>
        <w:spacing w:before="240" w:after="240"/>
        <w:rPr>
          <w:lang w:val="el" w:eastAsia="el"/>
        </w:rPr>
      </w:pPr>
      <w:r>
        <w:rPr>
          <w:b/>
          <w:bCs/>
          <w:lang w:val="el" w:eastAsia="el"/>
        </w:rPr>
        <w:t>ΕΥΑΓΓΕΛΟΣ ΒΕΝΙΖΕΛΟΣ ΜΙΛΤΙΑΔΗΣ ΠΑΠΑΪΩΑΝΝΟΥ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0"/>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 τις Δημόσιες ΟικονομικέςΥπηρεσίες(Δ.Ο.Υ.).Τοπρωτότυπο διπλότυπο(έγγραφο αριθμ.πρωτ.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