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1097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114</w:t>
      </w:r>
    </w:p>
    <w:p>
      <w:pPr>
        <w:pStyle w:val="PreambelText"/>
        <w:spacing w:before="240" w:after="240"/>
        <w:rPr>
          <w:lang w:val="el" w:eastAsia="el"/>
        </w:rPr>
      </w:pPr>
      <w:r>
        <w:rPr>
          <w:lang w:val="el" w:eastAsia="el"/>
        </w:rPr>
        <w:t>22 Σεπτεμβρίου 2015</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70.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w:t>
      </w:r>
    </w:p>
    <w:p>
      <w:pPr>
        <w:pStyle w:val="PreambelText"/>
        <w:spacing w:before="240" w:after="240"/>
        <w:rPr>
          <w:lang w:val="el" w:eastAsia="el"/>
        </w:rPr>
      </w:pPr>
      <w:r>
        <w:rPr>
          <w:lang w:val="el" w:eastAsia="el"/>
        </w:rPr>
        <w:t>Ενέργειας. Μεταφορά Γενικής Γραμματείας Βιομηχανίας στο Υπουργείο Οικονομίας, Ανάπτυξης</w:t>
      </w:r>
    </w:p>
    <w:p>
      <w:pPr>
        <w:pStyle w:val="PreambelText"/>
        <w:spacing w:before="240" w:after="240"/>
        <w:rPr>
          <w:lang w:val="el" w:eastAsia="el"/>
        </w:rPr>
      </w:pPr>
      <w:r>
        <w:rPr>
          <w:lang w:val="el" w:eastAsia="el"/>
        </w:rPr>
        <w:t>και Τουρισμού 1</w:t>
      </w:r>
    </w:p>
    <w:p>
      <w:pPr>
        <w:pStyle w:val="PreambelText"/>
        <w:spacing w:before="240" w:after="240"/>
        <w:rPr>
          <w:lang w:val="el" w:eastAsia="el"/>
        </w:rPr>
      </w:pPr>
      <w:r>
        <w:rPr>
          <w:lang w:val="el" w:eastAsia="el"/>
        </w:rPr>
        <w:t>71. Μεταφορά της Γενικής Γραμματείας για την Καταπολέμηση της Διαφθοράς στο Υπουργείο Δικαιοσύνης, Διαφάνειας και Ανθρωπίνων Δικαιωμάτων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70</w:t>
      </w:r>
    </w:p>
    <w:p>
      <w:pPr>
        <w:pStyle w:val="PreambelText"/>
        <w:spacing w:before="240" w:after="240"/>
        <w:rPr>
          <w:lang w:val="el" w:eastAsia="el"/>
        </w:rPr>
      </w:pPr>
      <w:r>
        <w:rPr>
          <w:lang w:val="el" w:eastAsia="el"/>
        </w:rPr>
        <w:t>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 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24 του Ν. 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γ) του Π.δ. 24/2015 «Σύσταση και μετονομασία Υπουργείων, μεταφορά της Γενικής Γραμματείας Κοινωνικών Ασφαλίσεων» (Α΄ 20).</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υπ’ αριθ. 127/2015 γνωμοδότηση του Συμβουλίου της Επικρατείας, με πρόταση του Πρωθυπουργού, αποφασίζουμε: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22 Σεπτεμβρίου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71</w:t>
      </w:r>
    </w:p>
    <w:p>
      <w:pPr>
        <w:spacing w:before="240" w:after="240"/>
        <w:rPr>
          <w:lang w:val="el" w:eastAsia="el"/>
        </w:rPr>
      </w:pPr>
      <w:r>
        <w:rPr>
          <w:lang w:val="el" w:eastAsia="el"/>
        </w:rPr>
        <w:t>Μεταφορά της Γενικής Γραμματείας για την Καταπολέμηση της Διαφθοράς στο Υπουργείο Δικαιοσύνης, Διαφάνειας και Ανθρωπίνων Δικαιωμάτων.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4 του Ν. 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γ)</w:t>
      </w:r>
      <w:r>
        <w:rPr>
          <w:lang w:val="en" w:eastAsia="en"/>
        </w:rPr>
        <w:tab/>
      </w:r>
      <w:r>
        <w:rPr>
          <w:lang w:val="el" w:eastAsia="el"/>
        </w:rPr>
        <w:t>του Π.δ. 101/2014 «Oργανισμός του Υπουργείου Δικαιοσύνης, Διαφάνειας και Ανθρωπίνων Δικαιωμάτων» (Α΄168),</w:t>
      </w:r>
    </w:p>
    <w:p>
      <w:pPr>
        <w:pStyle w:val="StructureList1"/>
        <w:spacing w:before="120" w:after="0"/>
        <w:rPr>
          <w:lang w:val="el" w:eastAsia="el"/>
        </w:rPr>
      </w:pPr>
      <w:r>
        <w:rPr>
          <w:lang w:val="el" w:eastAsia="el"/>
        </w:rPr>
        <w:t>δ)</w:t>
      </w:r>
      <w:r>
        <w:rPr>
          <w:lang w:val="en" w:eastAsia="en"/>
        </w:rPr>
        <w:tab/>
      </w:r>
      <w:r>
        <w:rPr>
          <w:lang w:val="el" w:eastAsia="el"/>
        </w:rPr>
        <w:t>των άρθρων 6 έως 15, 17 και 17Α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άλλες διατάξεις» (Α΄ 29).</w:t>
      </w:r>
    </w:p>
    <w:p>
      <w:pPr>
        <w:pStyle w:val="MainText"/>
        <w:spacing w:before="120" w:after="0"/>
        <w:rPr>
          <w:lang w:val="el" w:eastAsia="el"/>
        </w:rPr>
      </w:pPr>
      <w:r>
        <w:rPr>
          <w:b/>
          <w:bCs/>
          <w:lang w:val="el" w:eastAsia="el"/>
        </w:rPr>
        <w:t>2.</w:t>
      </w:r>
      <w:r>
        <w:rPr>
          <w:lang w:val="el" w:eastAsia="el"/>
        </w:rPr>
        <w:t xml:space="preserve"> Το γεγονός ότι από τις διατάξεις του παρόντος διατάγματος δεν προκαλείται δαπάνη σε βάρος του κρατικού προϋπολογισμού.</w:t>
      </w:r>
    </w:p>
    <w:p>
      <w:pPr>
        <w:pStyle w:val="MainText"/>
        <w:spacing w:before="120" w:after="0"/>
        <w:rPr>
          <w:lang w:val="el" w:eastAsia="el"/>
        </w:rPr>
      </w:pPr>
      <w:r>
        <w:rPr>
          <w:b/>
          <w:bCs/>
          <w:lang w:val="el" w:eastAsia="el"/>
        </w:rPr>
        <w:t>3.</w:t>
      </w:r>
      <w:r>
        <w:rPr>
          <w:lang w:val="el" w:eastAsia="el"/>
        </w:rPr>
        <w:t xml:space="preserve"> Την υπ’ αριθ. 128/2015 γνωμοδότηση του Συμβουλίου της Επικρατείας, με πρόταση του Πρωθυπουργού,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Γενική Γραμματεία για την Καταπολέμηση της Διαφθοράς μεταφέρεται ως σύνολο Υπηρεσιών με τις αρμοδιότητες, όργανα, θέσεις και προσωπικό όπως αυτά έχουν διαμορφωθεί κατά την έκδοση του παρόντος και με τους εποπτευόμενους από αυτή φορείς στο Υπουργείο Δικαιοσύνης, Διαφάνειας και Ανθρωπίνων Δικαιωμάτων.</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Όπου στο νόμο αναφέρεται Υπουργός αρμόδιος για θέματα της Γενικής Γραμματείας Καταπολέμησης της Διαφθοράς νοείται εφεξής ο Υπουργός Δικαιοσύνης, Διαφάνειας και Ανθρωπίνων Δικαιωμάτων.</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Έως ότου συγκροτηθούν ενιαία Υπηρεσιακά και Πειθαρχικά Συμβούλια του Υπουργείου Δικαιοσύνης, Διαφάνειας και Ανθρωπίνων Δικαιωμάτων, το προσωπικό της Γενικής Γραμματείας για την Καταπολέμηση της Διαφθοράς και των υπηρεσιών που υπάγονται σε αυτήν εξακολουθούν να υπάγονται στα Υπηρεσιακά και Πειθαρχικά Συμβούλια στα οποία υπάγονταν κατά τη δημοσίευση του παρόντος.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δαπάνες της Γενικής Γραμματείας για την Καταπολέμηση της Διαφθοράς βαρύνουν έως την 31/12/2015 τον προϋπολογισμό που έχει εγκριθεί για αυτήν, οι πιστώσεις του οποίου μεταφέρονται στον προϋπολογισμό του Υπουργείου Δικαιοσύνης, Διαφάνειας και Ανθρωπίνων Δικαιωμάτων.</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22 Σεπτεμβρίου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