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Νοεμβρίου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208</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123</w:t>
      </w:r>
    </w:p>
    <w:p>
      <w:pPr>
        <w:pStyle w:val="PreambelText"/>
        <w:spacing w:before="240" w:after="240"/>
        <w:rPr>
          <w:lang w:val="el" w:eastAsia="el"/>
        </w:rPr>
      </w:pPr>
      <w:r>
        <w:rPr>
          <w:b/>
          <w:bCs/>
          <w:lang w:val="el" w:eastAsia="el"/>
        </w:rPr>
        <w:t>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παρ. 4 του Ν. 1558/1985 «Κυβέρνηση και Κυβερνητικά Όργανα» (Α΄ 137),</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γ)</w:t>
      </w:r>
      <w:r>
        <w:rPr>
          <w:lang w:val="en" w:eastAsia="en"/>
        </w:rPr>
        <w:tab/>
      </w:r>
      <w:r>
        <w:rPr>
          <w:lang w:val="el" w:eastAsia="el"/>
        </w:rPr>
        <w:t>του Π.δ. 24/2015 «Σύσταση και μετονομασία Υπουργείων, μεταφορά της Γενικής Γραμματείας Κοινωνικών Ασφαλίσεων» (Α΄ 20),</w:t>
      </w:r>
    </w:p>
    <w:p>
      <w:pPr>
        <w:pStyle w:val="StructureList1"/>
        <w:spacing w:before="120" w:after="0"/>
        <w:rPr>
          <w:lang w:val="el" w:eastAsia="el"/>
        </w:rPr>
      </w:pPr>
      <w:r>
        <w:rPr>
          <w:lang w:val="el" w:eastAsia="el"/>
        </w:rPr>
        <w:t>δ)</w:t>
      </w:r>
      <w:r>
        <w:rPr>
          <w:lang w:val="en" w:eastAsia="en"/>
        </w:rPr>
        <w:tab/>
      </w:r>
      <w:r>
        <w:rPr>
          <w:lang w:val="el" w:eastAsia="el"/>
        </w:rPr>
        <w:t>του άρθρου 2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2) Το γεγονός ότι από τις διατάξεις του παρόντος διατάγματος προκαλείται δαπάνη σε βάρος του κρατικού προϋπολογισμού, η οποία δεν μπορεί να υπολογιστεί.</w:t>
      </w:r>
    </w:p>
    <w:p>
      <w:pPr>
        <w:pStyle w:val="PreambelText"/>
        <w:spacing w:before="240" w:after="240"/>
        <w:rPr>
          <w:lang w:val="el" w:eastAsia="el"/>
        </w:rPr>
      </w:pPr>
      <w:r>
        <w:rPr>
          <w:lang w:val="el" w:eastAsia="el"/>
        </w:rPr>
        <w:t>3) Τις 209/2016 και 216/2016 γνωμοδοτήσεις του Συμβουλίου της Επικρατείας, με πρόταση του Πρωθυπουργού,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Ανασύσταση και μετονομασία του</w:t>
      </w:r>
    </w:p>
    <w:p>
      <w:pPr>
        <w:spacing w:before="240" w:after="240"/>
        <w:rPr>
          <w:lang w:val="el" w:eastAsia="el"/>
        </w:rPr>
      </w:pPr>
      <w:r>
        <w:rPr>
          <w:b/>
          <w:bCs/>
          <w:lang w:val="el" w:eastAsia="el"/>
        </w:rPr>
        <w:t>Υπουργείου Διοικητικής Μεταρρύθμισης και Ηλεκτρονικής Διακυβέρνησης και μετονομασία του Υπουργείου Εσωτερικών και Διοικητικής Ανασυγκρότησης</w:t>
      </w:r>
    </w:p>
    <w:p>
      <w:pPr>
        <w:pStyle w:val="MainText"/>
        <w:spacing w:before="120" w:after="0"/>
        <w:rPr>
          <w:lang w:val="el" w:eastAsia="el"/>
        </w:rPr>
      </w:pPr>
      <w:r>
        <w:rPr>
          <w:b/>
          <w:bCs/>
          <w:lang w:val="el" w:eastAsia="el"/>
        </w:rPr>
        <w:t>1.</w:t>
      </w:r>
      <w:r>
        <w:rPr>
          <w:lang w:val="el" w:eastAsia="el"/>
        </w:rPr>
        <w:t xml:space="preserve"> Το Υπουργείο Διοικητικής Μεταρρύθμισης και Ηλεκτρονικής Διακυβέρνησης που είχε συγχωνευθεί με την παρ. 1 του άρθρου 1 του Π.δ. 24/2015 με τα Υπουργεία Εσωτερικών, Δημόσιας Τάξης και Προστασίας του Πολίτη και Μακεδονίας και Θράκης σε Υπουργείο Εσωτερικών και Διοικητικής Ανασυγκρότησης ανασυνιστάται και μετονομάζεται σε Υπουργείο Διοικητικής Ανασυγκρότησης. Στο ανασυνιστώμενο υπουργείο μεταφέρονται από το Υπουργείο Εσωτερικών και Διοικητικής Ανασυγκρότησης το σύνολο των αρμοδιοτήτων, υπηρεσιών, θέσεων και προσωπικού του συγχωνευθέντος με το Π.δ. 24/2015 πρώην Υπουργείου Διοικητικής Μεταρρύθμισης και Ηλεκτρονικής Διακυβέρνησης. Στο ανα- συνιστώμενο υπουργείο μεταφέρεται η εποπτεία των φορέων που υπάγονταν στο πρώην Υπουργείο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Το Υπουργείο Εσωτερικών και Διοικητικής Ανασυγκρότησης μετονομάζεται σε Υπουργείο Εσωτερικών.</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ο Υπουργός ή Αναπληρωτής Υπουργός Εσωτερικών και Διοικητικής Ανασυγκρότησης για θέματα αρμοδιότητας του ανα- συνιστώμενου Υπουργείου Διοικητικής Ανασυγκρότησης νοείται εφεξής ο Υπουργός Διοικητικής Ανασυγκρότησης. Σε κάθε άλλη περίπτωση, όπου στην κείμενη νομοθεσία αναφέρεται ο Υπουργός ή Αναπληρωτής Υπουργός Εσωτερικών και Διοικητικής Ανασυγκρότησης νοείται εφεξής ο Υπουργός ή Αναπληρωτής Υπουργός Εσωτερικών.</w:t>
      </w:r>
    </w:p>
    <w:p>
      <w:pPr>
        <w:pStyle w:val="MainText"/>
        <w:spacing w:before="120" w:after="0"/>
        <w:rPr>
          <w:lang w:val="el" w:eastAsia="el"/>
        </w:rPr>
      </w:pPr>
      <w:r>
        <w:rPr>
          <w:b/>
          <w:bCs/>
          <w:lang w:val="el" w:eastAsia="el"/>
        </w:rPr>
        <w:t>4.</w:t>
      </w:r>
      <w:r>
        <w:rPr>
          <w:lang w:val="el" w:eastAsia="el"/>
        </w:rPr>
        <w:t xml:space="preserve"> Έως τη συγκρότηση των υπηρεσιακών και πειθαρχικών Συμβουλίων του Υπουργείου Διοικητικής Ανασυγκρότησης, το προσωπικό του ανασυνιστώμενου Υπουργείου εξακολουθεί να υπάγεται στα υπηρεσιακά και πειθαρχικά συμβούλια στα οποία υπαγόταν μέχρι τη δημοσίευση του παρόντος.</w:t>
      </w:r>
    </w:p>
    <w:p>
      <w:pPr>
        <w:pStyle w:val="MainText"/>
        <w:spacing w:before="120" w:after="0"/>
        <w:rPr>
          <w:lang w:val="el" w:eastAsia="el"/>
        </w:rPr>
      </w:pPr>
      <w:r>
        <w:rPr>
          <w:b/>
          <w:bCs/>
          <w:lang w:val="el" w:eastAsia="el"/>
        </w:rPr>
        <w:t>5.</w:t>
      </w:r>
      <w:r>
        <w:rPr>
          <w:lang w:val="el" w:eastAsia="el"/>
        </w:rPr>
        <w:t xml:space="preserve"> Οι δαπάνες λειτουργίας των υπηρεσιών του ανασυ- νιστώμενου Υπουργείου Διοικητικής Ανασυγκρότησης εξακολουθούν να βαρύνουν έως τις 31.12.2016 τον προϋπολογισμό που έχει εγκριθεί για το πρώην Υπουργείο Εσωτερικών και Διοικητικής Ανασυγκρότησης, οι πιστώσεις του οποίου μεταφέρονται στο Υπουργείο Διοικητικής Ανασυγκρότησης κατά το μέρος που αφορούν τις υπηρεσίες που εντάσσονται σε αυτό.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Ανασύσταση Υπουργείου Τουρισμού</w:t>
      </w:r>
    </w:p>
    <w:p>
      <w:pPr>
        <w:pStyle w:val="MainText"/>
        <w:spacing w:before="120" w:after="0"/>
        <w:rPr>
          <w:lang w:val="el" w:eastAsia="el"/>
        </w:rPr>
      </w:pPr>
      <w:r>
        <w:rPr>
          <w:b/>
          <w:bCs/>
          <w:lang w:val="el" w:eastAsia="el"/>
        </w:rPr>
        <w:t>1.</w:t>
      </w:r>
      <w:r>
        <w:rPr>
          <w:lang w:val="el" w:eastAsia="el"/>
        </w:rPr>
        <w:t xml:space="preserve"> Ανασυνιστάται το Υπουργείο Τουρισμού που είχε συγχωνευθεί με την παρ. 1 του άρθρου 2 του Π.δ. 24/ 2015 με τα Υπουργεία Ανάπτυξης και Ανταγωνιστικότητας, Ναυτιλίας και Αιγαίου και Υποδομών Μεταφορών και Δικτύων σε Υπουργείο Οικονομίας, Υποδομών, Ναυτιλίας και Τουρισμού, το οποίο εν συνεχεία με την παρ. 1 του άρθρου 2 του Π.δ. 70/2015 μετονομάστηκε σε Υπουργείο Οικονομίας, Ανάπτυξης και Τουρισμού. Στο ανασυνιστώμενο υπουργείο μεταφέρονται από το πρώην Υπουργείο Οικονομίας, Ανάπτυξης και Τουρισμού το σύνολο των αρμοδιοτήτων, υπηρεσιών, θέσεων και προσωπικού του συγχωνευθέντος με το Π.δ. 24/2015 Υπουργείου Τουρισμού.</w:t>
      </w:r>
    </w:p>
    <w:p>
      <w:pPr>
        <w:pStyle w:val="MainText"/>
        <w:spacing w:before="120" w:after="0"/>
        <w:rPr>
          <w:lang w:val="el" w:eastAsia="el"/>
        </w:rPr>
      </w:pPr>
      <w:r>
        <w:rPr>
          <w:b/>
          <w:bCs/>
          <w:lang w:val="el" w:eastAsia="el"/>
        </w:rPr>
        <w:t>2.</w:t>
      </w:r>
      <w:r>
        <w:rPr>
          <w:lang w:val="el" w:eastAsia="el"/>
        </w:rPr>
        <w:t xml:space="preserve"> Το Υπουργείο Οικονομίας, Ανάπτυξης και Τουρισμού μετονομάζεσαι σε Υπουργείο Οικονομίας και Ανάπτυξης.</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ο Υπουργός ή Αναπληρωτής Υπουργός Οικονομίας, Ανάπτυξης και Τουρισμού σε θέματα αρμοδιότητας του ανασυ- νιστώμενου Υπουργείου Τουρισμού νοείται εφεξής ο Υπουργός Τουρισμού. Σε κάθε άλλη περίπτωση, όπου στην κείμενη νομοθεσία αναφέρεται ο Υπουργός Οικονομίας, Ανάπτυξης και Τουρισμού νοείται εφεξής ο Υπουργός Οικονομίας και Ανάπτυξης.</w:t>
      </w:r>
    </w:p>
    <w:p>
      <w:pPr>
        <w:pStyle w:val="MainText"/>
        <w:spacing w:before="120" w:after="0"/>
        <w:rPr>
          <w:lang w:val="el" w:eastAsia="el"/>
        </w:rPr>
      </w:pPr>
      <w:r>
        <w:rPr>
          <w:b/>
          <w:bCs/>
          <w:lang w:val="el" w:eastAsia="el"/>
        </w:rPr>
        <w:t>4.</w:t>
      </w:r>
      <w:r>
        <w:rPr>
          <w:lang w:val="el" w:eastAsia="el"/>
        </w:rPr>
        <w:t xml:space="preserve"> Έως τη συγκρότηση των υπηρεσιακών και πειθαρχικών συμβουλίων του Υπουργείου Τουρισμού, το προσωπικό του ανασυνιστώμενου Υπουργείου εξακολουθεί να υπάγεται στα υπηρεσιακά και πειθαρχικά συμβούλια στα οποία υπαγόταν μέχρι τη δημοσίευση του παρόντος.</w:t>
      </w:r>
    </w:p>
    <w:p>
      <w:pPr>
        <w:pStyle w:val="MainText"/>
        <w:spacing w:before="120" w:after="0"/>
        <w:rPr>
          <w:lang w:val="el" w:eastAsia="el"/>
        </w:rPr>
      </w:pPr>
      <w:r>
        <w:rPr>
          <w:b/>
          <w:bCs/>
          <w:lang w:val="el" w:eastAsia="el"/>
        </w:rPr>
        <w:t>5.</w:t>
      </w:r>
      <w:r>
        <w:rPr>
          <w:lang w:val="el" w:eastAsia="el"/>
        </w:rPr>
        <w:t xml:space="preserve"> Οι δαπάνες λειτουργίας των υπηρεσιών που εντάσσονται στο ανασυνιστώμενο Υπουργείο Τουρισμού εξακολουθούν να βαρύνουν έως τις 31.12.2016 τον προϋπολογισμό που έχει εγκριθεί για το πρώην Υπουργείο Οικονομίας, Ανάπτυξης και Τουρισμού, οι πιστώσεις του οποίου μεταφέρονται στο Υπουργείο Τουρισμού κατά το μέρος που αφορούν τις υπηρεσίες που εντάσσονται σε αυτό.</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Υπουργείου Μεταναστευτικής Πολιτικής</w:t>
      </w:r>
    </w:p>
    <w:p>
      <w:pPr>
        <w:pStyle w:val="MainText"/>
        <w:spacing w:before="120" w:after="0"/>
        <w:rPr>
          <w:lang w:val="el" w:eastAsia="el"/>
        </w:rPr>
      </w:pPr>
      <w:r>
        <w:rPr>
          <w:b/>
          <w:bCs/>
          <w:lang w:val="el" w:eastAsia="el"/>
        </w:rPr>
        <w:t>1.</w:t>
      </w:r>
      <w:r>
        <w:rPr>
          <w:lang w:val="el" w:eastAsia="el"/>
        </w:rPr>
        <w:t xml:space="preserve"> Συνιστάται Υπουργείο Μεταναστευτικής Πολιτικής. Το Υπουργείο συγκροτούν, μεταφερόμενες σε αυτό ως σύνολο αρμοδιοτήτων, θέσεων και προσωπικού, οι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Μεταναστευτικής Πολιτικής του πρώην Υπουργείου Εσωτερικών και Διοικητικής Ανασυγκρότησης (άρθρο 25 του Ν. 4375/2016, Α΄ 51), όπως έχει διαμορφωθεί κατά την έκδοση του παρόντος, με εξαίρεση της Διεύθυνσης Ιθαγένειας που παραμένει στο Υπουργείο Εσωτερικών.</w:t>
      </w:r>
    </w:p>
    <w:p>
      <w:pPr>
        <w:pStyle w:val="StructureList1"/>
        <w:spacing w:before="120" w:after="0"/>
        <w:rPr>
          <w:lang w:val="el" w:eastAsia="el"/>
        </w:rPr>
      </w:pPr>
      <w:r>
        <w:rPr>
          <w:lang w:val="el" w:eastAsia="el"/>
        </w:rPr>
        <w:t>β)</w:t>
      </w:r>
      <w:r>
        <w:rPr>
          <w:lang w:val="en" w:eastAsia="en"/>
        </w:rPr>
        <w:tab/>
      </w:r>
      <w:r>
        <w:rPr>
          <w:lang w:val="el" w:eastAsia="el"/>
        </w:rPr>
        <w:t>Η Γενική Γραμματεία Υποδοχής του πρώην Υπουργείου Εσωτερικών και Διοικητικής Ανασυγκρότησης (άρθρο 26 του Ν. 4375/2016, Α΄ 51), όπως έχει διαμορφωθεί κατά την έκδοση του παρόντος.</w:t>
      </w:r>
    </w:p>
    <w:p>
      <w:pPr>
        <w:pStyle w:val="MainText"/>
        <w:spacing w:before="120" w:after="0"/>
        <w:rPr>
          <w:lang w:val="el" w:eastAsia="el"/>
        </w:rPr>
      </w:pPr>
      <w:r>
        <w:rPr>
          <w:b/>
          <w:bCs/>
          <w:lang w:val="el" w:eastAsia="el"/>
        </w:rPr>
        <w:t>2.</w:t>
      </w:r>
      <w:r>
        <w:rPr>
          <w:lang w:val="el" w:eastAsia="el"/>
        </w:rPr>
        <w:t xml:space="preserve"> Στο Υπουργείο Μεταναστευτικής Πολιτικής μεταφέρονται από το πρώην Υπουργείο Εσωτερικών και Διοικητικής Ανασυγκρότησης, ως σύνολο αρμοδιοτήτων, θέσεων και προσωπικού και με το σύνολο των οργανικών μονάδων που υπάγονται σε αυτές, οι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Η αυτοτελής Υπηρεσία Ασύλου (Ν. 3907/2011, Α΄ 7), όπως έχει διαμορφωθεί κατά την έκδοση του παρόντος, β) η αυτοτελής υπηρεσία «Αρχή Προσφυγών» (άρθρο 4 του Ν. 4375/2016, Α΄ 51), όπως έχει διαμορφωθεί κατά την έκδοση του παρόντος και γ) η αυτοτελής Διεύθυνση Οικονομικών Υπηρεσιών Μεταναστευτικής Πολιτικής (άρθρο 28 του Ν. 4375/2016, Α΄ 51), όπως έχει διαμορφωθεί κατά την έκδοση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ο Υπουργός Εσωτερικών και Διοικητικής Ανασυγκρότησης ή ο Αναπληρωτής Υπουργός Εσωτερικών και Διοικητικής Ανασυγκρότησης αρμόδιος για θέματα μεταναστευτικής πολιτικής, νοείται εφεξής ο Υπουργός Μεταναστευτικής Πολιτικής.</w:t>
      </w:r>
    </w:p>
    <w:p>
      <w:pPr>
        <w:pStyle w:val="MainText"/>
        <w:spacing w:before="120" w:after="0"/>
        <w:rPr>
          <w:lang w:val="el" w:eastAsia="el"/>
        </w:rPr>
      </w:pPr>
      <w:r>
        <w:rPr>
          <w:b/>
          <w:bCs/>
          <w:lang w:val="el" w:eastAsia="el"/>
        </w:rPr>
        <w:t>4.</w:t>
      </w:r>
      <w:r>
        <w:rPr>
          <w:lang w:val="el" w:eastAsia="el"/>
        </w:rPr>
        <w:t xml:space="preserve"> Έως τη σύσταση αντίστοιχων υπηρεσιών στο συ- νιστώμενο Υπουργείο, οι μεταφερόμενες με τις παραγράφους 1 και 2 υπηρεσιακές μονάδες εξακολουθούν να εξυπηρετούνται για υπηρεσιακά, διοικητικά και οικονομικά θέματα από τις αρμόδιες μέχρι την έκδοση του παρόντος υπηρεσίες.</w:t>
      </w:r>
    </w:p>
    <w:p>
      <w:pPr>
        <w:pStyle w:val="MainText"/>
        <w:spacing w:before="120" w:after="0"/>
        <w:rPr>
          <w:lang w:val="el" w:eastAsia="el"/>
        </w:rPr>
      </w:pPr>
      <w:r>
        <w:rPr>
          <w:b/>
          <w:bCs/>
          <w:lang w:val="el" w:eastAsia="el"/>
        </w:rPr>
        <w:t>5.</w:t>
      </w:r>
      <w:r>
        <w:rPr>
          <w:lang w:val="el" w:eastAsia="el"/>
        </w:rPr>
        <w:t xml:space="preserve"> Έως τη συγκρότηση των υπηρεσιακών και πειθαρχικών συμβουλίων του Υπουργείου Μεταναστευτικής Πολιτικής, το προσωπικό των υπηρεσιών που μεταφέρονται στο Υπουργείο αυτό εξακολουθεί να υπάγεται στα υπηρεσιακά και πειθαρχικά συμβούλια στα οποία υπαγόταν μέχρι τη δημοσίευση του παρόντος.</w:t>
      </w:r>
    </w:p>
    <w:p>
      <w:pPr>
        <w:pStyle w:val="MainText"/>
        <w:spacing w:before="120" w:after="0"/>
        <w:rPr>
          <w:lang w:val="el" w:eastAsia="el"/>
        </w:rPr>
      </w:pPr>
      <w:r>
        <w:rPr>
          <w:b/>
          <w:bCs/>
          <w:lang w:val="el" w:eastAsia="el"/>
        </w:rPr>
        <w:t>6.</w:t>
      </w:r>
      <w:r>
        <w:rPr>
          <w:lang w:val="el" w:eastAsia="el"/>
        </w:rPr>
        <w:t xml:space="preserve"> Οι δαπάνες λειτουργίας των Υπηρεσιών που εντάσσονται στο Υπουργείο Μεταναστευτικής Πολιτικής εξακολουθούν να βαρύνουν έως τις 31.12.2016 τον προϋπολογισμό που έχει εγκριθεί για το Υπουργείο Εσωτερικών και Διοικητικής Ανασυγκρότησης, οι πιστώσεις του οποίου μεταφέρονται στο Υπουργείο Μεταναστευτικής Πολιτικής κατά το μέρος που αφορούν τις υπηρεσίες που εντάσσονται σε αυτό.</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Υπουργείου Ψηφιακής Πολιτικής, Τηλεπικοινωνιών και Ενημέρωσης και Μετονομασία Υπουργείου Υποδομών, Μεταφορών και Δικτύων</w:t>
      </w:r>
    </w:p>
    <w:p>
      <w:pPr>
        <w:pStyle w:val="MainText"/>
        <w:spacing w:before="120" w:after="0"/>
        <w:rPr>
          <w:lang w:val="el" w:eastAsia="el"/>
        </w:rPr>
      </w:pPr>
      <w:r>
        <w:rPr>
          <w:b/>
          <w:bCs/>
          <w:lang w:val="el" w:eastAsia="el"/>
        </w:rPr>
        <w:t>1.</w:t>
      </w:r>
      <w:r>
        <w:rPr>
          <w:lang w:val="el" w:eastAsia="el"/>
        </w:rPr>
        <w:t xml:space="preserve"> Συνιστάται Υπουργείο Ψηφιακής Πολιτικής, Τηλεπικοινωνιών και Ενημέρωσης το οποίο συγκροτείται από: α) τη Γενική Γραμματεία Ψηφιακής Πολιτικής (άρθρα 159 επ. του Ν. 4389/2016, Α΄ 94), όπως έχει διαμορφωθεί κατά την έκδοση του παρόντος, μεταφερόμενη σε αυτό ως σύνολο αρμοδιοτήτων, θέσεων και προσωπικού,</w:t>
      </w:r>
    </w:p>
    <w:p>
      <w:pPr>
        <w:pStyle w:val="StructureList1"/>
        <w:spacing w:before="120" w:after="0"/>
        <w:rPr>
          <w:lang w:val="el" w:eastAsia="el"/>
        </w:rPr>
      </w:pPr>
      <w:r>
        <w:rPr>
          <w:lang w:val="el" w:eastAsia="el"/>
        </w:rPr>
        <w:t>β)</w:t>
      </w:r>
      <w:r>
        <w:rPr>
          <w:lang w:val="en" w:eastAsia="en"/>
        </w:rPr>
        <w:tab/>
      </w:r>
      <w:r>
        <w:rPr>
          <w:lang w:val="el" w:eastAsia="el"/>
        </w:rPr>
        <w:t>τη Γενική Γραμματεία Τηλεπικοινωνιών και Ταχυδρομείων του Υπουργείου Υποδομών, Μεταφορών και Δικτύων (άρθρα 29 επ. του Π.δ. 109/2014, Α΄ 176), όπως έχει διαμορφωθεί κατά την έκδοση του παρόντος, μετα- φερόμενη σε αυτό ως σύνολο αρμοδιοτήτων, θέσεων και προσωπικού. Στο συνιστώμενο υπουργείο μεταφέρεται η εποπτεία φορέων που ασκούν έργο τηλεπικοινωνιών και ταχυδρομείων για τους οποίους έως την έκδοση του παρόντος αρμόδιος ήταν ο Υπουργός Υποδομών, Μεταφορών και Δικτύων,</w:t>
      </w:r>
    </w:p>
    <w:p>
      <w:pPr>
        <w:pStyle w:val="StructureList1"/>
        <w:spacing w:before="120" w:after="0"/>
        <w:rPr>
          <w:lang w:val="el" w:eastAsia="el"/>
        </w:rPr>
      </w:pPr>
      <w:r>
        <w:rPr>
          <w:lang w:val="el" w:eastAsia="el"/>
        </w:rPr>
        <w:t>γ)</w:t>
      </w:r>
      <w:r>
        <w:rPr>
          <w:lang w:val="en" w:eastAsia="en"/>
        </w:rPr>
        <w:tab/>
      </w:r>
      <w:r>
        <w:rPr>
          <w:lang w:val="el" w:eastAsia="el"/>
        </w:rPr>
        <w:t>τη Γενική Γραμματεία Ενημέρωσης και Επικοινωνίας (άρθρο 28 του Ν. 4320/2015, Α΄ 29), όπως έχει διαμορφωθεί κατά την έκδοση του παρόντος, μεταφερόμενη σε αυτό ως σύνολο αρμοδιοτήτων, θέσεων και προσωπικού. Στο συνιστώμενο υπουργείο μεταφέρεται η εποπτεία των νομικών προσώπων και φορέων που υπάγονται στη Γενική Γραμματεία Ενημέρωσης και Επικοινωνίας.</w:t>
      </w:r>
    </w:p>
    <w:p>
      <w:pPr>
        <w:pStyle w:val="MainText"/>
        <w:spacing w:before="120" w:after="0"/>
        <w:rPr>
          <w:lang w:val="el" w:eastAsia="el"/>
        </w:rPr>
      </w:pPr>
      <w:r>
        <w:rPr>
          <w:b/>
          <w:bCs/>
          <w:lang w:val="el" w:eastAsia="el"/>
        </w:rPr>
        <w:t>2.</w:t>
      </w:r>
      <w:r>
        <w:rPr>
          <w:lang w:val="el" w:eastAsia="el"/>
        </w:rPr>
        <w:t xml:space="preserve"> Το Υπουργείο Υποδομών, Μεταφορών και Δικτύων μετονομάζεται σε Υπουργείο Υποδομών και Μεταφορών.</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ο Υπουργός Υποδομών, Μεταφορών και Δικτύων σε θέματα αρμοδιότητας τηλεπικοινωνιών και ταχυδρομείων νοείται εφεξής ο Υπουργός Ψηφιακής Πολιτικής, Τηλεπικοινωνιών και Ενημέρωσης. Όπου στην κείμενη νομοθεσία αναφέρεται ο Υπουργός Επικρατείας σε θέματα Γενικής Γραμματείας Ενημέρωσης και Επικοινωνίας νοείται εφεξής ο Υπουργός Ψηφιακής Πολιτικής, Τηλεπικοινωνιών και Ενημέρωσης.</w:t>
      </w:r>
    </w:p>
    <w:p>
      <w:pPr>
        <w:pStyle w:val="MainText"/>
        <w:spacing w:before="120" w:after="0"/>
        <w:rPr>
          <w:lang w:val="el" w:eastAsia="el"/>
        </w:rPr>
      </w:pPr>
      <w:r>
        <w:rPr>
          <w:b/>
          <w:bCs/>
          <w:lang w:val="el" w:eastAsia="el"/>
        </w:rPr>
        <w:t>4.</w:t>
      </w:r>
      <w:r>
        <w:rPr>
          <w:lang w:val="el" w:eastAsia="el"/>
        </w:rPr>
        <w:t xml:space="preserve"> Έως τη σύσταση αντίστοιχων υπηρεσιών στο συνιστώ- μενο υπουργείο, οι μεταφερόμενες με την παράγραφο 1 υπηρεσιακές μονάδες εξακολουθούν να εξυπηρετούνται για υπηρεσιακά, διοικητικά και οικονομικά θέματα από τις αρμόδιες μέχρι την έκδοση του παρόντος υπηρεσίες.</w:t>
      </w:r>
    </w:p>
    <w:p>
      <w:pPr>
        <w:pStyle w:val="MainText"/>
        <w:spacing w:before="120" w:after="0"/>
        <w:rPr>
          <w:lang w:val="el" w:eastAsia="el"/>
        </w:rPr>
      </w:pPr>
      <w:r>
        <w:rPr>
          <w:b/>
          <w:bCs/>
          <w:lang w:val="el" w:eastAsia="el"/>
        </w:rPr>
        <w:t>5.</w:t>
      </w:r>
      <w:r>
        <w:rPr>
          <w:lang w:val="el" w:eastAsia="el"/>
        </w:rPr>
        <w:t xml:space="preserve"> Έως τη συγκρότηση των ενιαίων υπηρεσιακών και πειθαρχικών συμβουλίων του Υπουργείου Ψηφιακής Πολιτικής, Τηλεπικοινωνιών και Ενημέρωσης, το προσωπικό των μεταφερόμενων υπηρεσιών στο συνιστώμενο με το παρόν Υπουργείο εξακολουθεί να υπάγεται στα υπηρεσιακά και πειθαρχικά συμβούλια στα οποία υπαγόταν μέχρι τη δημοσίευση του παρόντος.</w:t>
      </w:r>
    </w:p>
    <w:p>
      <w:pPr>
        <w:pStyle w:val="MainText"/>
        <w:spacing w:before="120" w:after="0"/>
        <w:rPr>
          <w:lang w:val="el" w:eastAsia="el"/>
        </w:rPr>
      </w:pPr>
      <w:r>
        <w:rPr>
          <w:b/>
          <w:bCs/>
          <w:lang w:val="el" w:eastAsia="el"/>
        </w:rPr>
        <w:t>6.</w:t>
      </w:r>
      <w:r>
        <w:rPr>
          <w:lang w:val="el" w:eastAsia="el"/>
        </w:rPr>
        <w:t xml:space="preserve"> Οι δαπάνες λειτουργίας των μεταφερόμενων στο Υπουργείο Ψηφιακής Πολιτικής, Τηλεπικοινωνιών και Ενημέρωσης υπηρεσιών εξακολουθούν να βαρύνουν έως τις 31.12.2016 τους προϋπολογισμούς που έχουν εγκριθεί για αυτές, οι πιστώσεις των οποίων μεταφέρονται στο συνιστώμενο με το παρόν Υπουργείο.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4 Νοεμβρίου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