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 Δ. 634/435/29.4.1993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Διαδικασία έκπτωσης Φ.Π.Α.</w:t>
      </w:r>
    </w:p>
    <w:p>
      <w:pPr>
        <w:spacing w:before="240" w:after="240"/>
        <w:rPr>
          <w:lang w:val="el" w:eastAsia="el"/>
        </w:rPr>
      </w:pPr>
      <w:r>
        <w:rPr>
          <w:lang w:val="el" w:eastAsia="el"/>
        </w:rPr>
        <w:t xml:space="preserve">29 Απρίλιος 1993 </w:t>
      </w:r>
    </w:p>
    <w:p>
      <w:pPr>
        <w:spacing w:before="240" w:after="240"/>
        <w:rPr>
          <w:lang w:val="el" w:eastAsia="el"/>
        </w:rPr>
      </w:pPr>
      <w:r>
        <w:rPr>
          <w:b/>
          <w:bCs/>
          <w:lang w:val="el" w:eastAsia="el"/>
        </w:rPr>
        <w:t>Αριθ. Δ. 634/435</w:t>
      </w:r>
    </w:p>
    <w:p>
      <w:pPr>
        <w:spacing w:before="240" w:after="240"/>
        <w:rPr>
          <w:lang w:val="el" w:eastAsia="el"/>
        </w:rPr>
      </w:pPr>
      <w:r>
        <w:rPr>
          <w:lang w:val="el" w:eastAsia="el"/>
        </w:rPr>
        <w:t>(ΦΕΚ Β' 343/12-05-1993)</w:t>
      </w:r>
    </w:p>
    <w:p>
      <w:pPr>
        <w:spacing w:before="240" w:after="240"/>
        <w:rPr>
          <w:lang w:val="el" w:eastAsia="el"/>
        </w:rPr>
      </w:pPr>
      <w:r>
        <w:rPr>
          <w:b/>
          <w:bCs/>
          <w:lang w:val="el" w:eastAsia="el"/>
        </w:rPr>
        <w:t>Διαδικασία έκπτωσης Φ.Π.Α.</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κατωτέρω διατάξεις του Ν. 1642/1986 «για την εφαρμογή του Φόρου Προστιθέμενης Αξίας και άλλες διατάξεις» (ΦΕΚ 125 Α):</w:t>
      </w:r>
    </w:p>
    <w:p>
      <w:pPr>
        <w:spacing w:before="240" w:after="240"/>
        <w:rPr>
          <w:lang w:val="el" w:eastAsia="el"/>
        </w:rPr>
      </w:pPr>
      <w:r>
        <w:rPr>
          <w:lang w:val="el" w:eastAsia="el"/>
        </w:rPr>
        <w:t>α. των άρθρων 23, 25 και 27</w:t>
      </w:r>
    </w:p>
    <w:p>
      <w:pPr>
        <w:spacing w:before="240" w:after="240"/>
        <w:rPr>
          <w:lang w:val="el" w:eastAsia="el"/>
        </w:rPr>
      </w:pPr>
      <w:r>
        <w:rPr>
          <w:lang w:val="el" w:eastAsia="el"/>
        </w:rPr>
        <w:t>β. Των παραγράφων 2, 3, 5 και 8 του άρθρου 36.</w:t>
      </w:r>
    </w:p>
    <w:p>
      <w:pPr>
        <w:spacing w:before="240" w:after="240"/>
        <w:rPr>
          <w:lang w:val="el" w:eastAsia="el"/>
        </w:rPr>
      </w:pPr>
      <w:r>
        <w:rPr>
          <w:lang w:val="el" w:eastAsia="el"/>
        </w:rPr>
        <w:t>2. Τις διατάξεις των άρθρων 50, 54, 55 και 56 του Ν. 2127/93 «Εναρμόνιση προς το Κοινοτικό Δίκαιο του φορολογικού καθεστώτος των πετρελαιοειδών προϊόντων, αλκοόλης και αλκοολούχων ποτών και βιομηχανοποιημένων καπνών»</w:t>
      </w:r>
    </w:p>
    <w:p>
      <w:pPr>
        <w:spacing w:before="240" w:after="240"/>
        <w:rPr>
          <w:lang w:val="el" w:eastAsia="el"/>
        </w:rPr>
      </w:pPr>
      <w:r>
        <w:rPr>
          <w:lang w:val="el" w:eastAsia="el"/>
        </w:rPr>
        <w:t xml:space="preserve">3. Την αριθμ.Υ 1847/1078399/1182/0001/7.8.92 Κοινή Απόφαση του Πρωθυπουργού και του Υπουργού Οικονομικών «Ανάθεση αρμοδιοτήτων Υπουργού Οικονομικών στους Υφυπουργούς  Οικονομικών» (ΦΕΚ 525/Β' 14-8-1992),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Ορίζουμε τη διαδικασία έκπτωσης του Φόρου Προστιθέμενης Αξίας που αναλογεί στις εισροές των εγκεκριμένων αποθηκευτών, εγγεγραμένων επιτηδευματιών και εισαγωγέων από τρίτες χώρες, καπνοβιομηχανιών προϊόντων, ως εξής:</w:t>
      </w:r>
    </w:p>
    <w:p>
      <w:pPr>
        <w:spacing w:before="240" w:after="240"/>
        <w:rPr>
          <w:lang w:val="el" w:eastAsia="el"/>
        </w:rPr>
      </w:pPr>
      <w:r>
        <w:rPr>
          <w:lang w:val="el" w:eastAsia="el"/>
        </w:rPr>
        <w:t>1. Προκειμένου ο ενδιαφερόμενος εγκεκριμένος αποθηκευτής, εγγεγραμμένος επιτηδευματίας ή εισαγωγέας των παραπάνω προϊόντων, να τύχει της ως άνω έκπτωσης, υποχρεούται να προσκομίσει στην αρμόδια Τελωνειακή Αρχή τα πρωτότυπα των σχετικών δικαιολογητικών εγγράφων, δηλαδή των τιμολογίων ή άλλων αποδεικτικών στοιχείων που επέχουν θέση τιμολογίου.</w:t>
      </w:r>
    </w:p>
    <w:p>
      <w:pPr>
        <w:spacing w:before="240" w:after="240"/>
        <w:rPr>
          <w:lang w:val="el" w:eastAsia="el"/>
        </w:rPr>
      </w:pPr>
      <w:r>
        <w:rPr>
          <w:lang w:val="el" w:eastAsia="el"/>
        </w:rPr>
        <w:t>Τα ανωτέρω αποδεικτικά στοιχεία θα συνοδεύονται από συγκεντρωτική κατάσταση σε δύο αντίτυπα στην οποία θα αναγράφονται:</w:t>
      </w:r>
    </w:p>
    <w:p>
      <w:pPr>
        <w:pStyle w:val="StructureList1"/>
        <w:spacing w:before="120" w:after="0"/>
        <w:rPr>
          <w:lang w:val="el" w:eastAsia="el"/>
        </w:rPr>
      </w:pPr>
      <w:r>
        <w:rPr>
          <w:lang w:val="el" w:eastAsia="el"/>
        </w:rPr>
        <w:t>-</w:t>
      </w:r>
      <w:r>
        <w:rPr>
          <w:lang w:val="en" w:eastAsia="en"/>
        </w:rPr>
        <w:tab/>
      </w:r>
      <w:r>
        <w:rPr>
          <w:lang w:val="el" w:eastAsia="el"/>
        </w:rPr>
        <w:t>ο αριθμός και η ημερομηνία έκδοσης του αποδεικτικού στοιχείου,</w:t>
      </w:r>
    </w:p>
    <w:p>
      <w:pPr>
        <w:pStyle w:val="StructureList1"/>
        <w:spacing w:before="120" w:after="0"/>
        <w:rPr>
          <w:lang w:val="el" w:eastAsia="el"/>
        </w:rPr>
      </w:pPr>
      <w:r>
        <w:rPr>
          <w:lang w:val="el" w:eastAsia="el"/>
        </w:rPr>
        <w:t>-</w:t>
      </w:r>
      <w:r>
        <w:rPr>
          <w:lang w:val="en" w:eastAsia="en"/>
        </w:rPr>
        <w:tab/>
      </w:r>
      <w:r>
        <w:rPr>
          <w:lang w:val="el" w:eastAsia="el"/>
        </w:rPr>
        <w:t>το ονοματεπώνυμο ή η επωνυμία Α.Φ.Μ. και η διεύθυνση του εκδότη αυτού,</w:t>
      </w:r>
    </w:p>
    <w:p>
      <w:pPr>
        <w:pStyle w:val="StructureList1"/>
        <w:spacing w:before="120" w:after="0"/>
        <w:rPr>
          <w:lang w:val="el" w:eastAsia="el"/>
        </w:rPr>
      </w:pPr>
      <w:r>
        <w:rPr>
          <w:lang w:val="el" w:eastAsia="el"/>
        </w:rPr>
        <w:t>-</w:t>
      </w:r>
      <w:r>
        <w:rPr>
          <w:lang w:val="en" w:eastAsia="en"/>
        </w:rPr>
        <w:tab/>
      </w:r>
      <w:r>
        <w:rPr>
          <w:lang w:val="el" w:eastAsia="el"/>
        </w:rPr>
        <w:t>η αξία των αγαθών που παραδόθηκαν ή η αμοιβή των υπηρεσιών που προσφέρθηκαν, κατά περίπτωση, στον εγκεκριμένο αποκηκευτή, εγγεγραμμένο επιτηδευματία ή τον εισαγωγέα</w:t>
      </w:r>
    </w:p>
    <w:p>
      <w:pPr>
        <w:pStyle w:val="StructureList1"/>
        <w:spacing w:before="120" w:after="0"/>
        <w:rPr>
          <w:lang w:val="el" w:eastAsia="el"/>
        </w:rPr>
      </w:pPr>
      <w:r>
        <w:rPr>
          <w:lang w:val="el" w:eastAsia="el"/>
        </w:rPr>
        <w:t>-</w:t>
      </w:r>
      <w:r>
        <w:rPr>
          <w:lang w:val="en" w:eastAsia="en"/>
        </w:rPr>
        <w:tab/>
      </w:r>
      <w:r>
        <w:rPr>
          <w:lang w:val="el" w:eastAsia="el"/>
        </w:rPr>
        <w:t>ο συντελεστή και το ποσό του φόρου προστιθέμενης αξίας κατά αποδεικτικό στοιχείο και</w:t>
      </w:r>
    </w:p>
    <w:p>
      <w:pPr>
        <w:pStyle w:val="StructureList1"/>
        <w:spacing w:before="120" w:after="0"/>
        <w:rPr>
          <w:lang w:val="el" w:eastAsia="el"/>
        </w:rPr>
      </w:pPr>
      <w:r>
        <w:rPr>
          <w:lang w:val="el" w:eastAsia="el"/>
        </w:rPr>
        <w:t>-</w:t>
      </w:r>
      <w:r>
        <w:rPr>
          <w:lang w:val="en" w:eastAsia="en"/>
        </w:rPr>
        <w:tab/>
      </w:r>
      <w:r>
        <w:rPr>
          <w:lang w:val="el" w:eastAsia="el"/>
        </w:rPr>
        <w:t>το συνολικά ποσό του προς έκπτωση φόρου.</w:t>
      </w:r>
    </w:p>
    <w:p>
      <w:pPr>
        <w:spacing w:before="240" w:after="240"/>
        <w:rPr>
          <w:lang w:val="el" w:eastAsia="el"/>
        </w:rPr>
      </w:pPr>
      <w:r>
        <w:rPr>
          <w:lang w:val="el" w:eastAsia="el"/>
        </w:rPr>
        <w:t>Με βάση τα στοιχεία αυτά θα ενεργείται η έκπτωση του φόρου των εισροών κατά την εκκαθάριση της αίτησης φορολογίας καπνοβιομηχανικών προϊόντων.</w:t>
      </w:r>
    </w:p>
    <w:p>
      <w:pPr>
        <w:spacing w:before="240" w:after="240"/>
        <w:rPr>
          <w:lang w:val="el" w:eastAsia="el"/>
        </w:rPr>
      </w:pPr>
      <w:r>
        <w:rPr>
          <w:lang w:val="el" w:eastAsia="el"/>
        </w:rPr>
        <w:t>2. Εφόσον το προς έκπτωση ποσό του φόρου προστιθέμενης αξίας είναι μεγαλύτερο από το ποσό του φόρου αυτού που αντιστοιχεί στην αίτηση φορολογίας, η διαφορά του φόρου που δεν μπορεί να εκπεσθεί σημειώνεται με κόκκινο μολύβι στην!αίτηση φορολογίας για να ληφθεί υπόψη προς έκπτωση σε επόμενες αιτήσεις ή για να επιστραφεί σύμφωνα με τις διατάξεις του άρθρου 27 του Ν. 1642/86.</w:t>
      </w:r>
    </w:p>
    <w:p>
      <w:pPr>
        <w:spacing w:before="240" w:after="240"/>
        <w:rPr>
          <w:lang w:val="el" w:eastAsia="el"/>
        </w:rPr>
      </w:pPr>
      <w:r>
        <w:rPr>
          <w:lang w:val="el" w:eastAsia="el"/>
        </w:rPr>
        <w:t>3. Τα αποδεικτικά στοιχεία θα ακυρώνονται με ειδική σφραγίδα με την ένδειξη «έγινε έκπτωση που αναγραφόμενου φόρου στην αίτηση φορολογίας αριθμ. ...». Η ένδειξη αυτή θα συμπληρώνεται με τον αριθμό της οικείας αίτησης φορολογίας.</w:t>
      </w:r>
    </w:p>
    <w:p>
      <w:pPr>
        <w:spacing w:before="240" w:after="240"/>
        <w:rPr>
          <w:lang w:val="el" w:eastAsia="el"/>
        </w:rPr>
      </w:pPr>
      <w:r>
        <w:rPr>
          <w:lang w:val="el" w:eastAsia="el"/>
        </w:rPr>
        <w:t>4. Το ένα αντίτυπο της συγκεντρωτικής κατάστασης θα παραμένει στην Υπηρεσία που ενεργεί την έκπτωση και θα επισυνάπτεται στη σχετική αίτηση φορολογίας. Το δεύτερο αντίτυπο θα θεωρείται από τον Προϊστάμενο του Τελωνείου και θα επιστρέφεται στον ενδιαφερόμενο μαζί με τα αποδεικτικά στοιχεία.</w:t>
      </w:r>
    </w:p>
    <w:p>
      <w:pPr>
        <w:spacing w:before="240" w:after="240"/>
        <w:rPr>
          <w:lang w:val="el" w:eastAsia="el"/>
        </w:rPr>
      </w:pPr>
      <w:r>
        <w:rPr>
          <w:lang w:val="el" w:eastAsia="el"/>
        </w:rPr>
        <w:t>5. Ο συμψηφισμός των φόρων και εισφορών που αναλογούν στα καπνοβιομηχανικά προϊόντα, τα οποία σύμφωνα με τα οριζόμενα από τις διατάξεις του άρθρου 50 του Ν. 2127/93, έχουν πάθει φθορά ή βλάβη ώστε να αποκλείεται η διάθεσή τους στην κατανάλωση, θα γίνεται κατά την εκκαθάριση των αιτήσεων φορολογίας από τον αντίστοιχο κωδικό αριθμό εσόδου με τον οποίο έχουν βεβαιωθεί.</w:t>
      </w:r>
    </w:p>
    <w:p>
      <w:pPr>
        <w:spacing w:before="240" w:after="240"/>
        <w:rPr>
          <w:lang w:val="el" w:eastAsia="el"/>
        </w:rPr>
      </w:pPr>
      <w:r>
        <w:rPr>
          <w:lang w:val="el" w:eastAsia="el"/>
        </w:rPr>
        <w:t>Η ίδια διαδικασία θα εφαρμόζεται και προκειμένου για την έκπτωση του φόρου προστιθεμένης αξίας που αναλογεί στα ανωτέρω καπνοβιομηχανικά προϊόντα.</w:t>
      </w:r>
    </w:p>
    <w:p>
      <w:pPr>
        <w:spacing w:before="240" w:after="240"/>
        <w:rPr>
          <w:lang w:val="el" w:eastAsia="el"/>
        </w:rPr>
      </w:pPr>
      <w:r>
        <w:rPr>
          <w:lang w:val="el" w:eastAsia="el"/>
        </w:rPr>
        <w:t>Αποδεικτικό στοιχείο για την έκπτωση ή το συμψηφισμό θα αποτελεί το σχετικό πρωτόκολλο καταστροφής των φθαρμένων καπνοβιομηχανικών προϊόντων, το οποίο θα περιλαμβάνει αναλυτικά όλους τους φόρους και λοιπές εισφορές που αντιστοιχούν στα εν λόγω προϊόντα.</w:t>
      </w:r>
    </w:p>
    <w:p>
      <w:pPr>
        <w:spacing w:before="240" w:after="240"/>
        <w:rPr>
          <w:lang w:val="el" w:eastAsia="el"/>
        </w:rPr>
      </w:pPr>
      <w:r>
        <w:rPr>
          <w:lang w:val="el" w:eastAsia="el"/>
        </w:rPr>
        <w:t>6. Η αριθμ. Π.7090/704/30.10.86 Υπουργική Απόφαση καταργείται.</w:t>
      </w:r>
    </w:p>
    <w:p>
      <w:pPr>
        <w:spacing w:before="240" w:after="240"/>
        <w:rPr>
          <w:lang w:val="el" w:eastAsia="el"/>
        </w:rPr>
      </w:pPr>
      <w:r>
        <w:rPr>
          <w:lang w:val="el" w:eastAsia="el"/>
        </w:rPr>
        <w:t>Από τις διατάξεις της παρούσας δεν προκαλείται δαπάνη στον Κρατικό Προϋπολογισμό.</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1993</w:t>
      </w:r>
    </w:p>
    <w:p>
      <w:pPr>
        <w:spacing w:before="240" w:after="240"/>
        <w:rPr>
          <w:lang w:val="el" w:eastAsia="el"/>
        </w:rPr>
      </w:pPr>
      <w:r>
        <w:rPr>
          <w:lang w:val="el" w:eastAsia="el"/>
        </w:rPr>
        <w:t>O ΥΦΥΠΟΥΡΓΟΣ</w:t>
      </w:r>
    </w:p>
    <w:p>
      <w:pPr>
        <w:spacing w:before="240" w:after="240"/>
        <w:rPr>
          <w:lang w:val="el" w:eastAsia="el"/>
        </w:rPr>
      </w:pPr>
      <w:r>
        <w:rPr>
          <w:lang w:val="el" w:eastAsia="el"/>
        </w:rPr>
        <w:t>KΩN. ΠΑΤΡΑΚΟΣ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1034/201812.03.2018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