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Ο∆ΗΓΙΑ 2001/37/ΕΚ ΤΟΥ ΕΥΡΩΠΑΪΚΟΥ ΚΟΙΝΟΒΟΥΛΙΟΥ ΚΑΙ ΤΟΥ ΣΥΜΒΟΥΛΙΟΥ</w:t>
      </w:r>
      <w:r>
        <w:rPr>
          <w:lang w:val="el" w:eastAsia="el"/>
        </w:rPr>
        <w:br/>
      </w:r>
      <w:r>
        <w:rPr>
          <w:b/>
          <w:bCs/>
          <w:lang w:val="el" w:eastAsia="el"/>
        </w:rPr>
        <w:t>της 5ης Ιουνίου 2001</w:t>
      </w:r>
      <w:r>
        <w:rPr>
          <w:lang w:val="el" w:eastAsia="el"/>
        </w:rPr>
        <w:br/>
      </w:r>
      <w:r>
        <w:rPr>
          <w:b/>
          <w:bCs/>
          <w:lang w:val="el" w:eastAsia="el"/>
        </w:rPr>
        <w:t xml:space="preserve">για την προσέγγιση των νοµοθετικών, κανονιστικών και διοικητικών διατάξεων των κρατών </w:t>
      </w:r>
      <w:r>
        <w:rPr>
          <w:lang w:val="el" w:eastAsia="el"/>
        </w:rPr>
        <w:br/>
      </w:r>
      <w:r>
        <w:rPr>
          <w:b/>
          <w:bCs/>
          <w:lang w:val="el" w:eastAsia="el"/>
        </w:rPr>
        <w:t>µελώνσχετικά µε την παραγωγή, την παρουσίαση και την πώληση των προϊόντων καπνού</w:t>
      </w:r>
    </w:p>
    <w:p>
      <w:pPr>
        <w:pStyle w:val="PreambelText"/>
        <w:spacing w:before="240" w:after="240"/>
        <w:rPr>
          <w:lang w:val="el" w:eastAsia="el"/>
        </w:rPr>
      </w:pPr>
      <w:r>
        <w:rPr>
          <w:lang w:val="el" w:eastAsia="el"/>
        </w:rPr>
        <w:t>ΤΟ ΕYΡΩΠΑΪΚΟ ΚΟΙΝΟΒΟΥΛΙΟ ΚΑΙ ΤΟ ΣΥΜΒΟΥΛΙΟ ΤΗΣ (4)</w:t>
      </w:r>
    </w:p>
    <w:p>
      <w:pPr>
        <w:pStyle w:val="PreambelText"/>
        <w:spacing w:before="240" w:after="240"/>
        <w:rPr>
          <w:lang w:val="el" w:eastAsia="el"/>
        </w:rPr>
      </w:pPr>
      <w:r>
        <w:rPr>
          <w:lang w:val="el" w:eastAsia="el"/>
        </w:rPr>
        <w:t>ΕΥΡΩΠΑΪΚΗΣ ΕΝΩΣΗΣ,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τη συνθήκη για την ίδρυση της Ευρωπαϊκής Κοινότητας, και ιδίως τα άρθρα 95 και 133,</w:t>
      </w:r>
    </w:p>
    <w:p>
      <w:pPr>
        <w:pStyle w:val="PreambelText"/>
        <w:spacing w:before="240" w:after="240"/>
        <w:rPr>
          <w:lang w:val="el" w:eastAsia="el"/>
        </w:rPr>
      </w:pPr>
      <w:r>
        <w:rPr>
          <w:lang w:val="el" w:eastAsia="el"/>
        </w:rPr>
        <w:t>την πρόταση της Επιτροπής (</w:t>
      </w:r>
      <w:r>
        <w:rPr>
          <w:sz w:val="30"/>
          <w:szCs w:val="30"/>
          <w:vertAlign w:val="superscript"/>
          <w:lang w:val="el" w:eastAsia="el"/>
        </w:rPr>
        <w:t>1</w:t>
      </w:r>
      <w:r>
        <w:rPr>
          <w:lang w:val="el" w:eastAsia="el"/>
        </w:rPr>
        <w:t>),</w:t>
      </w:r>
    </w:p>
    <w:p>
      <w:pPr>
        <w:pStyle w:val="PreambelText"/>
        <w:spacing w:before="240" w:after="240"/>
        <w:rPr>
          <w:lang w:val="el" w:eastAsia="el"/>
        </w:rPr>
      </w:pPr>
      <w:r>
        <w:rPr>
          <w:lang w:val="el" w:eastAsia="el"/>
        </w:rPr>
        <w:t>τη γνώµη της Οικονοµικής και Κοινωνικής Επιτροπής (</w:t>
      </w:r>
      <w:r>
        <w:rPr>
          <w:sz w:val="30"/>
          <w:szCs w:val="30"/>
          <w:vertAlign w:val="superscript"/>
          <w:lang w:val="el" w:eastAsia="el"/>
        </w:rPr>
        <w:t>2</w:t>
      </w:r>
      <w:r>
        <w:rPr>
          <w:lang w:val="el" w:eastAsia="el"/>
        </w:rPr>
        <w:t>),</w:t>
      </w:r>
    </w:p>
    <w:p>
      <w:pPr>
        <w:pStyle w:val="PreambelText"/>
        <w:spacing w:before="240" w:after="240"/>
        <w:rPr>
          <w:lang w:val="el" w:eastAsia="el"/>
        </w:rPr>
      </w:pPr>
      <w:r>
        <w:rPr>
          <w:lang w:val="el" w:eastAsia="el"/>
        </w:rPr>
        <w:t>τη γνώµη της Επιτροπής των Περιφερειών (</w:t>
      </w:r>
      <w:r>
        <w:rPr>
          <w:sz w:val="30"/>
          <w:szCs w:val="30"/>
          <w:vertAlign w:val="superscript"/>
          <w:lang w:val="el" w:eastAsia="el"/>
        </w:rPr>
        <w:t>3</w:t>
      </w:r>
      <w:r>
        <w:rPr>
          <w:lang w:val="el" w:eastAsia="el"/>
        </w:rPr>
        <w:t>),</w:t>
      </w:r>
    </w:p>
    <w:p>
      <w:pPr>
        <w:pStyle w:val="PreambelText"/>
        <w:spacing w:before="240" w:after="240"/>
        <w:rPr>
          <w:lang w:val="el" w:eastAsia="el"/>
        </w:rPr>
      </w:pPr>
      <w:r>
        <w:rPr>
          <w:lang w:val="el" w:eastAsia="el"/>
        </w:rPr>
        <w:t>Αποφασίζοντας µε τη διαδικασία που καθορίζεται στο άρθρο 251 της συνθήκης (</w:t>
      </w:r>
      <w:r>
        <w:rPr>
          <w:sz w:val="30"/>
          <w:szCs w:val="30"/>
          <w:vertAlign w:val="superscript"/>
          <w:lang w:val="el" w:eastAsia="el"/>
        </w:rPr>
        <w:t>4</w:t>
      </w:r>
      <w:r>
        <w:rPr>
          <w:lang w:val="el" w:eastAsia="el"/>
        </w:rPr>
        <w:t>), υπό το πρίσµα του κοινού σχεδίου που εγκρίθηκε από την επιτροπή συνδιαλλαγής στις 5 Απριλίου 2001,</w:t>
      </w:r>
    </w:p>
    <w:p>
      <w:pPr>
        <w:pStyle w:val="PreambelText"/>
        <w:spacing w:before="240" w:after="240"/>
        <w:rPr>
          <w:lang w:val="el" w:eastAsia="el"/>
        </w:rPr>
      </w:pPr>
      <w:r>
        <w:rPr>
          <w:lang w:val="el" w:eastAsia="el"/>
        </w:rPr>
        <w:t>Εκτιµώντας τα ακόλουθα:</w:t>
      </w:r>
    </w:p>
    <w:p>
      <w:pPr>
        <w:pStyle w:val="PreambelText"/>
        <w:spacing w:before="240" w:after="240"/>
        <w:rPr>
          <w:lang w:val="el" w:eastAsia="el"/>
        </w:rPr>
      </w:pPr>
      <w:r>
        <w:rPr>
          <w:lang w:val="el" w:eastAsia="el"/>
        </w:rPr>
        <w:t>(1) Η οδηγία 89/622/ΕΟΚ του Συµβουλίου, της 13ης Νοεµ- βρίου 1989, για την προσέγγιση των νοµοθετικών, κανονιστικών και διοικητικών διατάξεων των κρατών µελών σχετικά µε τη σήµανση των προϊόντων καπνού και την απαγόρευση ορισµένων καπνών που λαµβάνονται από το στόµα (</w:t>
      </w:r>
      <w:r>
        <w:rPr>
          <w:sz w:val="30"/>
          <w:szCs w:val="30"/>
          <w:vertAlign w:val="superscript"/>
          <w:lang w:val="el" w:eastAsia="el"/>
        </w:rPr>
        <w:t>5</w:t>
      </w:r>
      <w:r>
        <w:rPr>
          <w:lang w:val="el" w:eastAsia="el"/>
        </w:rPr>
        <w:t>), τροποποιήθηκε σηµαντικά από την οδηγία 92/41/ΕΟΚ του Συµβουλίου (</w:t>
      </w:r>
      <w:r>
        <w:rPr>
          <w:sz w:val="30"/>
          <w:szCs w:val="30"/>
          <w:vertAlign w:val="superscript"/>
          <w:lang w:val="el" w:eastAsia="el"/>
        </w:rPr>
        <w:t>6</w:t>
      </w:r>
      <w:r>
        <w:rPr>
          <w:lang w:val="el" w:eastAsia="el"/>
        </w:rPr>
        <w:t>). Επειδή πρόκειται να γίνουν περαιτέρω τροποποιήσεις στην εν λόγω οδηγία καθώς και στην οδηγία 90/239/ΕΟΚ του Συµβουλίου, της 17ης Μαΐου 1990, για την προσέγγιση των νοµοθετικών, κανονιστικών και διοικητικών διατάξεων των κρατών µελών σχετικά µε τη µέγιστη περιεκτικότητα των τσιγάρων σε πίσσα (</w:t>
      </w:r>
      <w:r>
        <w:rPr>
          <w:sz w:val="30"/>
          <w:szCs w:val="30"/>
          <w:vertAlign w:val="superscript"/>
          <w:lang w:val="el" w:eastAsia="el"/>
        </w:rPr>
        <w:t>7</w:t>
      </w:r>
      <w:r>
        <w:rPr>
          <w:lang w:val="el" w:eastAsia="el"/>
        </w:rPr>
        <w:t>), οι εν λόγω οδηγίες θα πρέπει να αναδιατυπωθούν για λόγους σαφήνειας.</w:t>
      </w:r>
    </w:p>
    <w:p>
      <w:pPr>
        <w:pStyle w:val="PreambelText"/>
        <w:spacing w:before="240" w:after="240"/>
        <w:rPr>
          <w:lang w:val="el" w:eastAsia="el"/>
        </w:rPr>
      </w:pPr>
      <w:r>
        <w:rPr>
          <w:lang w:val="el" w:eastAsia="el"/>
        </w:rPr>
        <w:t>(2) Εξακολουθούν να υπάρχουν ουσιαστικές διαφορές µεταξύ των νοµοθετικών, κανονιστικών και διοικητικών διατάξεων των κρατών µελών σχετικά µε την παραγωγή, την παρουσίαση και την πώληση των προϊόντων καπνού, οι οποίες εµποδίζουν τη λειτουργία της εσωτερικής αγοράς.</w:t>
      </w:r>
    </w:p>
    <w:p>
      <w:pPr>
        <w:pStyle w:val="PreambelText"/>
        <w:spacing w:before="240" w:after="240"/>
        <w:rPr>
          <w:lang w:val="el" w:eastAsia="el"/>
        </w:rPr>
      </w:pPr>
      <w:r>
        <w:rPr>
          <w:lang w:val="el" w:eastAsia="el"/>
        </w:rPr>
        <w:t>(3) Τα προσκόµµατα αυτά θα πρέπει να εκλείψουν και, για το σκοπό αυτό, θα πρέπει να υπάρξει προσέγγιση των κανόνων που αφορούν την παραγωγή, την παρουσίαση και την πώληση των προϊόντων καπνού, αφήνοντας όµως τη δυνατότητα στα κράτη µέλη να επιβάλουν, υπό ορισµένους όρους, τις απαιτήσεις που θεωρούν απαραίτητες για την εξασφάλιση της προστασίας της ανθρώπινης υγείας.</w:t>
      </w:r>
    </w:p>
    <w:p>
      <w:pPr>
        <w:pStyle w:val="PreambelText"/>
        <w:spacing w:before="240" w:after="240"/>
        <w:rPr>
          <w:lang w:val="el" w:eastAsia="el"/>
        </w:rPr>
      </w:pPr>
      <w:r>
        <w:rPr>
          <w:lang w:val="el" w:eastAsia="el"/>
        </w:rPr>
        <w:t>Σύµφωνα µε το άρθρο 95 παράγραφος 3 της συνθήκης, θα πρέπει να ληφθεί ως βάση ένα υψηλό επίπεδο προστασίας σχετικά µε την υγεία, την ασφάλεια, την προστασία του περιβάλλοντος και την προστασία των καταναλωτών, λαµβα- νοµένης ιδίως υπόψη οποιασδήποτε νέας εξέλιξης που βασίζεται σε επιστηµονικά στοιχεία. Λόγω των ιδιαίτερα επιβλαβών συνεπειών του καπνού, η προστασία της υγείας θα πρέπει να αποτελέσει κατά προτεραιότητα αντικείµενο προσοχής στο πλαίσιο αυτό.</w:t>
      </w:r>
    </w:p>
    <w:p>
      <w:pPr>
        <w:pStyle w:val="PreambelText"/>
        <w:spacing w:before="240" w:after="240"/>
        <w:rPr>
          <w:lang w:val="el" w:eastAsia="el"/>
        </w:rPr>
      </w:pPr>
      <w:r>
        <w:rPr>
          <w:lang w:val="el" w:eastAsia="el"/>
        </w:rPr>
        <w:t>(5) Η οδηγία 90/239/ΕΟΚ καθιέρωσε τη µέγιστη επιτρεπτή περιεκτικότητα σε πίσσα των τσιγάρων που διατίθενται στην αγορά στα κράτη µέλη από τις 31 ∆εκεµβρίου 1992. Η καρκινογόνος φύση της πίσσας καθιστά απαραίτητη την περαιτέρω µείωση των επιπέδων πίσσας στα τσιγάρα.</w:t>
      </w:r>
    </w:p>
    <w:p>
      <w:pPr>
        <w:pStyle w:val="PreambelText"/>
        <w:spacing w:before="240" w:after="240"/>
        <w:rPr>
          <w:lang w:val="el" w:eastAsia="el"/>
        </w:rPr>
      </w:pPr>
      <w:r>
        <w:rPr>
          <w:lang w:val="el" w:eastAsia="el"/>
        </w:rPr>
        <w:t>(6) Η οδηγία 89/622/ΕΟΚ καθιέρωσε την αναγραφή µιας γενικής προειδοποίησης στις µονάδες συσκευασίας όλων των προϊόντων καπνού, καθώς και συµπληρωµατικών προειδοποιήσεων αποκλειστικά για τα τσιγάρα, και, από το 1992, η υποχρέωση αναγραφής συµπληρωµατικών προειδοποιήσεων επεκτάθηκε και στα άλλα προϊόντα καπνού.</w:t>
      </w:r>
    </w:p>
    <w:p>
      <w:pPr>
        <w:pStyle w:val="PreambelText"/>
        <w:spacing w:before="240" w:after="240"/>
        <w:rPr>
          <w:lang w:val="el" w:eastAsia="el"/>
        </w:rPr>
      </w:pPr>
      <w:r>
        <w:rPr>
          <w:lang w:val="el" w:eastAsia="el"/>
        </w:rPr>
        <w:t>(7) ∆ιάφορα κράτη µέλη έχουν δηλώσει ότι, αν δεν θεσπιστούν σε κοινοτικό επίπεδο µέτρα για τη θέσπιση µέγιστης περιεκτικότητας των τσιγάρων σε µονοξείδιο του άνθρακα, θα λάβουν σχετικά µέτρα σε εθνικό επίπεδο. Οι διαφορές στους κανόνες σχετικά µε το µονοξείδιο του άνθρακα ενδέχεται να δηµιουργήσουν προσκόµµατα στο εµπόριο και να εµποδί- σουν την οµαλή λειτουργία της εσωτερικής αγοράς. Εξάλλου, έχει αποδειχθεί ότι τα τσιγάρα παράγουν ποσότητες µονοξειδίου του άνθρακα που είναι επικίνδυνες για την ανθρώπινη υγεία και ικανές να συµβάλλουν στην πρόκληση καρδιαγγειακών παθήσεων και άλλων ασθενειών.</w:t>
      </w:r>
    </w:p>
    <w:p>
      <w:pPr>
        <w:pStyle w:val="PreambelText"/>
        <w:spacing w:before="240" w:after="240"/>
        <w:rPr>
          <w:lang w:val="el" w:eastAsia="el"/>
        </w:rPr>
      </w:pPr>
      <w:r>
        <w:rPr>
          <w:lang w:val="el" w:eastAsia="el"/>
        </w:rPr>
        <w:t>(8) Μια αναθεώρηση του ρυθµιστικού πλαισίου χρειάζεται να αξιολογήσει τους τεκµηριωµένους ισχυρισµούς για τα προϊόντα καπνού που έχουν σχεδιαστεί ή/και τεθεί στο εµπόριο για τη «µείωση του κινδύνου» ή για τα οποία οι καπνοπαραγωγοί ισχυρίζονται ότι είναι λιγότερο επιβλαβή.</w:t>
      </w:r>
    </w:p>
    <w:p>
      <w:pPr>
        <w:pStyle w:val="PreambelText"/>
        <w:spacing w:before="240" w:after="240"/>
        <w:rPr>
          <w:lang w:val="el" w:eastAsia="el"/>
        </w:rPr>
      </w:pPr>
      <w:r>
        <w:rPr>
          <w:lang w:val="el" w:eastAsia="el"/>
        </w:rPr>
        <w:t>(1) ΕΕ C 150 E της 30.5.2000, σ. 43 και ΕΕ C 337 Ε της 28.11.2000, σ. 177.</w:t>
      </w:r>
    </w:p>
    <w:p>
      <w:pPr>
        <w:pStyle w:val="PreambelText"/>
        <w:spacing w:before="240" w:after="240"/>
        <w:rPr>
          <w:lang w:val="el" w:eastAsia="el"/>
        </w:rPr>
      </w:pPr>
      <w:r>
        <w:rPr>
          <w:lang w:val="el" w:eastAsia="el"/>
        </w:rPr>
        <w:t>(2) ΕΕ C 140 της 18.5.2000, σ. 24.</w:t>
      </w:r>
    </w:p>
    <w:p>
      <w:pPr>
        <w:pStyle w:val="PreambelText"/>
        <w:spacing w:before="240" w:after="240"/>
        <w:rPr>
          <w:lang w:val="el" w:eastAsia="el"/>
        </w:rPr>
      </w:pPr>
      <w:r>
        <w:rPr>
          <w:lang w:val="el" w:eastAsia="el"/>
        </w:rPr>
        <w:t>(3) ΕΕ C 226 της 8.8.2000, σ. 5.</w:t>
      </w:r>
    </w:p>
    <w:p>
      <w:pPr>
        <w:pStyle w:val="PreambelText"/>
        <w:spacing w:before="240" w:after="240"/>
        <w:rPr>
          <w:lang w:val="el" w:eastAsia="el"/>
        </w:rPr>
      </w:pPr>
      <w:r>
        <w:rPr>
          <w:lang w:val="el" w:eastAsia="el"/>
        </w:rPr>
        <w:t>(4) Γνώµη του Ευρωπαϊκού Κοινοβουλίου της 14ης Ιουνίου 2000 (ΕΕ C 67 της 1.3.2001, σ. 150), κοινή θέση του Συµβουλίου της 31ης Ιουλίου 2000 (ΕΕ C 300 της 20.10.2000, σ. 49) και απόφαση του Ευρωπαϊκού Κοινοβουλίου της 13ης ∆εκεµβρίου 2000 (δεν δηµοσιεύθηκε ακόµα στην Επίσηµη Εφηµερίδα). Απόφαση του Ευρωπαϊκού Κοινοβουλίου της 15ης Μαΐου 2001 και απόφαση του Συµβουλίου της 14ης Μαΐου 2001.</w:t>
      </w:r>
    </w:p>
    <w:p>
      <w:pPr>
        <w:pStyle w:val="PreambelText"/>
        <w:spacing w:before="240" w:after="240"/>
        <w:rPr>
          <w:lang w:val="el" w:eastAsia="el"/>
        </w:rPr>
      </w:pPr>
      <w:r>
        <w:rPr>
          <w:lang w:val="el" w:eastAsia="el"/>
        </w:rPr>
        <w:t>ΕΕ L 359 της 8.12.1989, σ. 1.</w:t>
      </w:r>
    </w:p>
    <w:p>
      <w:pPr>
        <w:pStyle w:val="PreambelText"/>
        <w:spacing w:before="240" w:after="240"/>
        <w:rPr>
          <w:lang w:val="el" w:eastAsia="el"/>
        </w:rPr>
      </w:pPr>
      <w:r>
        <w:rPr>
          <w:lang w:val="el" w:eastAsia="el"/>
        </w:rPr>
        <w:t>ΕΕ L 158 της 11.6.1992, σ. 30.</w:t>
      </w:r>
    </w:p>
    <w:p>
      <w:pPr>
        <w:pStyle w:val="PreambelText"/>
        <w:spacing w:before="240" w:after="240"/>
        <w:rPr>
          <w:lang w:val="el" w:eastAsia="el"/>
        </w:rPr>
      </w:pPr>
      <w:r>
        <w:rPr>
          <w:lang w:val="el" w:eastAsia="el"/>
        </w:rPr>
        <w:t>ΕΕ L 137 της 30.5.1990, σ. 36.</w:t>
      </w:r>
    </w:p>
    <w:p>
      <w:pPr>
        <w:pStyle w:val="PreambelText"/>
        <w:spacing w:before="240" w:after="240"/>
        <w:rPr>
          <w:lang w:val="el" w:eastAsia="el"/>
        </w:rPr>
      </w:pPr>
      <w:r>
        <w:rPr>
          <w:lang w:val="el" w:eastAsia="el"/>
        </w:rPr>
        <w:t>(9) Υπάρχουν διαφορές µεταξύ των νοµοθετικών, κανονιστικών και διοικητικών διατάξεων των κρατών µελών σχετικά µε τη µέγιστη επιτρεπτή περιεκτικότητα νικοτίνης στα τσιγάρα. Οι διαφορές αυτές ενδέχεται να δηµιουργήσουν προσκόµµατα στο εµπόριο και να εµποδίσουν την οµαλή λειτουργία της εσωτερικής αγοράς. Τα κράτη µέλη και οι επιστηµονικές αρχές έχουν θίξει συγκεκριµένα θέµατα που αφορούν τη δηµόσια υγεία σε έναν τοµέα που ήδη αποτέλεσε αντικεί- µενο προγενέστερων µέτρων εναρµόνισης, η δε Επιτροπή εξέτασε τα θέµατα αυτά.</w:t>
      </w:r>
    </w:p>
    <w:p>
      <w:pPr>
        <w:pStyle w:val="PreambelText"/>
        <w:spacing w:before="240" w:after="240"/>
        <w:rPr>
          <w:lang w:val="el" w:eastAsia="el"/>
        </w:rPr>
      </w:pPr>
      <w:r>
        <w:rPr>
          <w:lang w:val="el" w:eastAsia="el"/>
        </w:rPr>
        <w:t>Τα προσκόµµατα αυτά θα πρέπει συνεπώς να εκλείψουν και, για τον σκοπό αυτό, η θέση σε ελεύθερη κυκλοφορία, η διάθεση στην αγορά και η παραγωγή τσιγάρων θα πρέπει να υποβληθούν σε κοινούς κανόνες, όχι µόνο όσον αφορά την πίσσα αλλά και όσον αφορά τα µέγιστα επίπεδα νικοτίνης και µονοξειδίου του άνθρακα.</w:t>
      </w:r>
    </w:p>
    <w:p>
      <w:pPr>
        <w:pStyle w:val="PreambelText"/>
        <w:spacing w:before="240" w:after="240"/>
        <w:rPr>
          <w:lang w:val="el" w:eastAsia="el"/>
        </w:rPr>
      </w:pPr>
      <w:r>
        <w:rPr>
          <w:lang w:val="el" w:eastAsia="el"/>
        </w:rPr>
        <w:t>(14) Για τη µέτρηση της περιεκτικότητας των τσιγάρων σε πίσσα, νικοτίνη και µονοξείδιο του άνθρακα, θα πρέπει να γίνει παραποµπή στα πρότυπα ISO 4387, ISO 10315 και ISO 8454 τα οποία είναι τα µόνα διεθνώς αναγνωρισµένα, δεδο- µένου ότι η περαιτέρω έρευνα και τεχνική πρόοδος, που πρέπει να προωθηθούν, θα πρέπει να οδηγήσουν στην ανάπτυξη και χρησιµοποίηση ακριβέστερων και πλέον αξιόπιστων µεθόδων µέτρησης της περιεκτικότητας των τσιγάρων σε τέτοιες ουσίες, καθώς και στην ανάπτυξη µεθόδων µέτρησης για τα άλλα προϊόντα καπνού.</w:t>
      </w:r>
    </w:p>
    <w:p>
      <w:pPr>
        <w:pStyle w:val="PreambelText"/>
        <w:spacing w:before="240" w:after="240"/>
        <w:rPr>
          <w:lang w:val="el" w:eastAsia="el"/>
        </w:rPr>
      </w:pPr>
      <w:r>
        <w:rPr>
          <w:lang w:val="el" w:eastAsia="el"/>
        </w:rPr>
        <w:t>(15) ∆εν υπάρχουν διεθνώς συµφωνηµένα πρότυπα ή δοκιµές για τον ποσοτικό προσδιορισµό και την αξιολόγηση των επιπέδων περιεκτικότητας των συστατικών στον καπνό των τσιγάρων, µε εξαίρεση την πίσσα, τη νικοτίνη και το µονοξείδιο του άνθρακα. Συνεπώς, είναι αναγκαία µια διαδικασία για την ανάπτυξη τέτοιων προτύπων, σε συνεργασία µε τον ∆ιεθνή Οργανισµό Τυποποίησης (ISO).</w:t>
      </w:r>
    </w:p>
    <w:p>
      <w:pPr>
        <w:pStyle w:val="PreambelText"/>
        <w:spacing w:before="240" w:after="240"/>
        <w:rPr>
          <w:lang w:val="el" w:eastAsia="el"/>
        </w:rPr>
      </w:pPr>
      <w:r>
        <w:rPr>
          <w:lang w:val="el" w:eastAsia="el"/>
        </w:rPr>
        <w:t>µένου να διευκολυνθεί η εισαγωγή των απαιτήσεων επισή- µανσης της παρούσας οδηγίας.</w:t>
      </w:r>
    </w:p>
    <w:p>
      <w:pPr>
        <w:pStyle w:val="PreambelText"/>
        <w:spacing w:before="240" w:after="240"/>
        <w:rPr>
          <w:lang w:val="el" w:eastAsia="el"/>
        </w:rPr>
      </w:pPr>
      <w:r>
        <w:rPr>
          <w:lang w:val="el" w:eastAsia="el"/>
        </w:rPr>
        <w:t>Η παρουσίαση των προειδοποιητικών µηνυµάτων και των περιεκτικοτήτων εξακολουθεί να διαφέρει ανάµεσα στα κράτη µέλη. Κατά συνέπεια, οι καταναλωτές σε ένα κράτος µέλος µπορούν να ενηµερώνονται καλύτερα ως προς τους κινδύνους των προϊόντων καπνού από ό,τι σε κάποιο άλλο. Οι διαφορές αυτές είναι απαράδεκτες και ενδέχεται να δηµιουργήσουν προσκόµµατα στο εµπόριο και να εµποδί- σουν τη λειτουργία της εσωτερικής αγοράς όσον αφορά τα προϊόντα καπνού και θα πρέπει, κατά συνέπεια, να εξαλει- φθούν. Είναι ανάγκη, για τον σκοπό αυτό, να ενισχυθεί και να διασαφηνιστεί η ισχύουσα νοµοθεσία, εξασφαλίζοντας ένα υψηλό επίπεδο προστασίας της υγείας.</w:t>
      </w:r>
    </w:p>
    <w:p>
      <w:pPr>
        <w:pStyle w:val="PreambelText"/>
        <w:spacing w:before="240" w:after="240"/>
        <w:rPr>
          <w:lang w:val="el" w:eastAsia="el"/>
        </w:rPr>
      </w:pPr>
      <w:r>
        <w:rPr>
          <w:lang w:val="el" w:eastAsia="el"/>
        </w:rPr>
        <w:t>Θα πρέπει να προβλεφθεί η σήµανση των παρτίδων των προϊόντων καπνού, κατά τρόπον ώστε να εξασφαλίζεται η ανιχνευσιµότητα των προϊόντων, µε σκοπό τον έλεγχο της τήρησης της παρούσας οδηγίας.</w:t>
      </w:r>
    </w:p>
    <w:p>
      <w:pPr>
        <w:pStyle w:val="PreambelText"/>
        <w:spacing w:before="240" w:after="240"/>
        <w:rPr>
          <w:lang w:val="el" w:eastAsia="el"/>
        </w:rPr>
      </w:pPr>
      <w:r>
        <w:rPr>
          <w:lang w:val="el" w:eastAsia="el"/>
        </w:rPr>
        <w:t>Το άµεσο και έµµεσο κοινωνικοοικονοµικό κόστος της ενεργητικής και παθητικής χρήσεως καπνού θα πρέπει να αποτιµάται επί τακτικής βάσεως και να διατίθεται στο κοινό στο πλαίσιο των κατάλληλων προγραµµάτων της Κοινότητας.</w:t>
      </w:r>
    </w:p>
    <w:p>
      <w:pPr>
        <w:pStyle w:val="PreambelText"/>
        <w:spacing w:before="240" w:after="240"/>
        <w:rPr>
          <w:lang w:val="el" w:eastAsia="el"/>
        </w:rPr>
      </w:pPr>
      <w:r>
        <w:rPr>
          <w:lang w:val="el" w:eastAsia="el"/>
        </w:rPr>
        <w:t>Υπάρχουν διαφορές ως προς την κατάσταση που επικρατεί στο κάθε κράτος µέλος σχετικά µε τα συστατικά και τα πρόσθετα που χρησιµοποιούνται στην παραγωγή προϊόντων καπνού. Σε ορισµένα κράτη µέλη δεν υπάρχει νοµοθεσία ούτε ισχύουν εθελοντικές συµφωνίες όσον αφορά τις ουσίες αυτές. Αρκετά κράτη µέλη, στα οποία υπάρχουν τέτοιες νοµοθετικές ρυθµίσεις ή εθελοντικές συµφωνίες, δεν λαµβά- νουν καµία πληροφορία από τους καπνοβιοµηχάνους σχετικά µε τις ποσότητες αυτών των συστατικών και των προσθέτων στα συγκεκριµένα προϊόντα καπνού ανά µάρκα. Θα πρέπει να ξεκινήσει µια προσέγγιση των εφαρµοζόµενων µέτρων στον τοµέα αυτό, ώστε να υπάρξει µεγαλύτερη διαφάνεια.</w:t>
      </w:r>
    </w:p>
    <w:p>
      <w:pPr>
        <w:pStyle w:val="PreambelText"/>
        <w:spacing w:before="240" w:after="240"/>
        <w:rPr>
          <w:lang w:val="el" w:eastAsia="el"/>
        </w:rPr>
      </w:pPr>
      <w:r>
        <w:rPr>
          <w:lang w:val="el" w:eastAsia="el"/>
        </w:rPr>
        <w:t>Η έλλειψη πληροφοριών µαζί µε την έλλειψη τοξικολογικών δεδοµένων δεν επιτρέπει στις αρµόδιες αρχές των κρατών µελών να αξιολογούν αποτελεσµατικά την τοξικότητα και τους κινδύνους στους οποίους εκτίθεται η υγεία του καταναλωτή από τα προϊόντα καπνού. Αυτό είναι ασυµβίβαστο µε την υποχρέωση της Κοινότητας να εξασφαλίζει ένα υψηλό επίπεδο προστασίας της ανθρώπινης υγείας.</w:t>
      </w:r>
    </w:p>
    <w:p>
      <w:pPr>
        <w:pStyle w:val="PreambelText"/>
        <w:spacing w:before="240" w:after="240"/>
        <w:rPr>
          <w:lang w:val="el" w:eastAsia="el"/>
        </w:rPr>
      </w:pPr>
      <w:r>
        <w:rPr>
          <w:lang w:val="el" w:eastAsia="el"/>
        </w:rPr>
        <w:t>Τα κράτη µέλη θα πρέπει να µπορούν να θεσπίζουν αυστηρότερους κανόνες σχετικά µε τα προϊόντα καπνού, τους οποίους θεωρούν αναγκαίους για την προστασία της δηµό- σιας υγείας, στο βαθµό που δεν θίγονται οι κανόνες της παρούσας οδηγίας και µε την επιφύλαξη των διατάξεων της συνθήκης.</w:t>
      </w:r>
    </w:p>
    <w:p>
      <w:pPr>
        <w:pStyle w:val="PreambelText"/>
        <w:spacing w:before="240" w:after="240"/>
        <w:rPr>
          <w:lang w:val="el" w:eastAsia="el"/>
        </w:rPr>
      </w:pPr>
      <w:r>
        <w:rPr>
          <w:lang w:val="el" w:eastAsia="el"/>
        </w:rPr>
        <w:t>Εν αναµονή της καθιέρωσης του κοινού καταλόγου συστατικών στον οποίο αναφέρεται το άρθρο 12, τα κράτη µέλη µπορούν να προβλέπουν την απαγόρευση της χρήσης συστατικών που έχουν ως συνέπεια την αύξηση των ιδιοτήτων εθισµού των προϊόντων καπνού, δεδοµένου ότι η χρήση τέτοιων συστατικών µπορεί να υπονοµεύσει τα όρια νικοτίνης που καθορίζει η παρούσα οδηγία.</w:t>
      </w:r>
    </w:p>
    <w:p>
      <w:pPr>
        <w:pStyle w:val="PreambelText"/>
        <w:spacing w:before="240" w:after="240"/>
        <w:rPr>
          <w:lang w:val="el" w:eastAsia="el"/>
        </w:rPr>
      </w:pPr>
      <w:r>
        <w:rPr>
          <w:lang w:val="el" w:eastAsia="el"/>
        </w:rPr>
        <w:t>(26) Έχει αποδειχθεί ότι τα προϊόντα καπνού περιέχουν και εκπέ- µπουν, όταν καίγονται, πολλές επιβλαβείς ουσίες καθώς και γνωστές καρκινογόνες ουσίες επικίνδυνες για την ανθρώπινη υγεία. Κατά τα τελευταία έτη αποδείχθηκε επίσης ότι το παθητικό κάπνισµα συνεπάγεται κινδύνους, ιδίως για τα έµβρυα και τα νεογνά, και ότι µπορεί να προκαλέσει ή να επιδεινώσει αναπνευστικά νοσήµατα στα πρόσωπα που εισπνέουν τον καπνό. Επιπλέον, το 80 % των ατόµων που αρχίζουν το κάπνισµα στην Κοινότητα είναι κάτω των 18 ετών. Θα πρέπει να εξασφαλιστεί η µεγαλύτερη δυνατή διαφάνεια των πληροφοριών για τα εν λόγω προϊόντα, µε ταυτόχρονη µέριµνα ότι τα δικαιώµατα εµπορικής και πνευ- µατικής ιδιοκτησίας των καπνοβιοµηχάνων λαµβάνονται δεόντως υπόψη.</w:t>
      </w:r>
    </w:p>
    <w:p>
      <w:pPr>
        <w:pStyle w:val="PreambelText"/>
        <w:spacing w:before="240" w:after="240"/>
        <w:rPr>
          <w:lang w:val="el" w:eastAsia="el"/>
        </w:rPr>
      </w:pPr>
      <w:r>
        <w:rPr>
          <w:lang w:val="el" w:eastAsia="el"/>
        </w:rPr>
        <w:t>(27) Η χρησιµοποίηση επάνω στις συσκευασίες προϊόντων καπνού χαρακτηρισµών, όπως «low tar», «light», «ultra light», «mild», ονοµάτων, εικόνων και παραστατικών ή άλλων ενδείξεων, ενδέχεται να παραπλανήσει τον καταναλωτή δηµιουργώντας την εσφαλµένη εντύπωση ότι τα προϊόντα αυτά είναι λιγότερο βλαβερά και να προκαλέσει αλλαγές στην κατανάλωση. Τα επίπεδα των εισπνεόµενων ουσιών εξαρτώνται όχι µόνον από τις ποσότητες ορισµένων ουσιών που περιέχονται στο προϊόν πριν από την κατανάλωση, αλλά και από τη συµπεριφορά του καπνιστή και τον εθισµό. Το θέµα αυτό δεν αντικατοπτρίζεται στη χρησι- µοποίηση τέτοιων όρων και έτσι µπορεί να υπονοµεύσει τις απαιτήσεις επισήµανσης οι οποίες καθορίζονται στην παρούσα οδηγία. Προκειµένου να διασφαλισθεί η οµαλή λειτουργία της εσωτερικής αγοράς και δεδοµένης της εξέλιξης των προτεινόµενων διεθνών κανόνων, θα πρέπει να προβλεφθεί η απαγόρευση αυτής της χρησιµοποίησης σε κοινοτικό επίπεδο, παρέχοντας επαρκή χρόνο για την εισαγωγή του εν λόγω κανόνα.</w:t>
      </w:r>
    </w:p>
    <w:p>
      <w:pPr>
        <w:pStyle w:val="PreambelText"/>
        <w:spacing w:before="240" w:after="240"/>
        <w:rPr>
          <w:lang w:val="el" w:eastAsia="el"/>
        </w:rPr>
      </w:pPr>
      <w:r>
        <w:rPr>
          <w:lang w:val="el" w:eastAsia="el"/>
        </w:rPr>
        <w:t>(28) Η οδηγία 89/622/ΕΟΚ απαγόρευσε την πώληση στα κράτη µέλη ορισµένων τύπων καπνού που λαµβάνονται από το στόµα. Το άρθρο 151 της πράξης προσχώρησης της Αυστρίας, της Φινλανδίας και της Σουηδίας παρέχει στο Βασίλειο της Σουηδίας παρέκκλιση από τις διατάξεις της εν λόγω οδηγίας όσον αφορά το θέµα αυτό.</w:t>
      </w:r>
    </w:p>
    <w:p>
      <w:pPr>
        <w:pStyle w:val="PreambelText"/>
        <w:spacing w:before="240" w:after="240"/>
        <w:rPr>
          <w:lang w:val="el" w:eastAsia="el"/>
        </w:rPr>
      </w:pPr>
      <w:r>
        <w:rPr>
          <w:lang w:val="el" w:eastAsia="el"/>
        </w:rPr>
        <w:t>ζητηθεί από την Επιτροπή η υποβολή κατάλληλων προτάσεων.</w:t>
      </w:r>
    </w:p>
    <w:p>
      <w:pPr>
        <w:pStyle w:val="PreambelText"/>
        <w:spacing w:before="240" w:after="240"/>
        <w:rPr>
          <w:lang w:val="el" w:eastAsia="el"/>
        </w:rPr>
      </w:pPr>
      <w:r>
        <w:rPr>
          <w:lang w:val="el" w:eastAsia="el"/>
        </w:rPr>
        <w:t>(32) Όσον αφορά τα λοιπά συστατικά, µεταξύ των οποίων και τα πρόσθετα, θα πρέπει να εξετασθεί, ενόψει µεταγενέστερης εναρµόνισης, η δυνατότητα κατάρτισης κοινού καταλόγου.</w:t>
      </w:r>
    </w:p>
    <w:p>
      <w:pPr>
        <w:pStyle w:val="PreambelText"/>
        <w:spacing w:before="240" w:after="240"/>
        <w:rPr>
          <w:lang w:val="el" w:eastAsia="el"/>
        </w:rPr>
      </w:pPr>
      <w:r>
        <w:rPr>
          <w:lang w:val="el" w:eastAsia="el"/>
        </w:rPr>
        <w:t>(33) Το µέγεθος της εσωτερικής αγοράς προϊόντων καπνού και η αυξανόµενη τάση των καπνοβιοµηχάνων να συγκεντρώνουν την παραγωγή τους για το σύνολο της Κοινότητας σε έναν µικρό µόνο αριθµό παραγωγικών εγκαταστάσεων στα κράτη µέλη, οδηγούν στο συµπέρασµα ότι τα νοµοθετικά µέτρα για την επίτευξη της οµαλής λειτουργίας της εσωτερικής αγοράς των προϊόντων καπνού πρέπει να λαµβάνονται σε κοινοτικό και όχι σε εθνικό επίπεδο.</w:t>
      </w:r>
    </w:p>
    <w:p>
      <w:pPr>
        <w:pStyle w:val="PreambelText"/>
        <w:spacing w:before="240" w:after="240"/>
        <w:rPr>
          <w:lang w:val="el" w:eastAsia="el"/>
        </w:rPr>
      </w:pPr>
      <w:r>
        <w:rPr>
          <w:lang w:val="el" w:eastAsia="el"/>
        </w:rPr>
        <w:t>(34) Η λειτουργία κοινής οργάνωσης αγοράς ακατέργαστου καπνού θα αποτελέσει το αντικείµενο έκθεσης της Επιτροπής προς το Ευρωπαϊκό Κοινοβούλιο και το Συµβούλιο το 2002 (</w:t>
      </w:r>
      <w:r>
        <w:rPr>
          <w:sz w:val="30"/>
          <w:szCs w:val="30"/>
          <w:vertAlign w:val="superscript"/>
          <w:lang w:val="el" w:eastAsia="el"/>
        </w:rPr>
        <w:t>1</w:t>
      </w:r>
      <w:r>
        <w:rPr>
          <w:lang w:val="el" w:eastAsia="el"/>
        </w:rPr>
        <w:t>). Η Επιτροπή δήλωσε ότι η εν λόγω έκθεση θα εξετάσει επίσης το ζήτηµα της ενσωµάτωσης προβληµα- τισµών που αφορούν τη δηµόσια υγεία, συµπεριλαµβανο- µένων των προτύπων που καθορίζονται στην παρούσα οδηγία, σε άλλες κοινοτικές πολιτικές, όπως απαιτείται δυνάµει του άρθρου 152 της συνθήκης.</w:t>
      </w:r>
    </w:p>
    <w:p>
      <w:pPr>
        <w:pStyle w:val="PreambelText"/>
        <w:spacing w:before="240" w:after="240"/>
        <w:rPr>
          <w:lang w:val="el" w:eastAsia="el"/>
        </w:rPr>
      </w:pPr>
      <w:r>
        <w:rPr>
          <w:lang w:val="el" w:eastAsia="el"/>
        </w:rPr>
        <w:t>(35) Για την εφαρµογή της παρούσας οδηγίας, θα πρέπει να προβλεφθεί ο καθορισµός προθεσµιών που θα επιτρέπουν, αφενός, την ολοκλήρωση µε τη µέγιστη αποτελεσµατικότητα της διαδικασίας µεταστροφής που άρχισε ήδη µε την οδηγία 90/239/ΕΟΚ και, αφετέρου, την προσαρµογή των καταναλωτών και των καπνοβιοµηχάνων σε προϊόντα µε χαµηλό- τερη περιεκτικότητα πίσσας, νικοτίνης και µονοξειδίου του άνθρακα.</w:t>
      </w:r>
    </w:p>
    <w:p>
      <w:pPr>
        <w:pStyle w:val="PreambelText"/>
        <w:spacing w:before="240" w:after="240"/>
        <w:rPr>
          <w:lang w:val="el" w:eastAsia="el"/>
        </w:rPr>
      </w:pPr>
      <w:r>
        <w:rPr>
          <w:lang w:val="el" w:eastAsia="el"/>
        </w:rPr>
        <w:t>(36) Τα απαιτούµενα µέτρα για την εφαρµογή της παρούσας οδηγίας θα πρέπει να θεσπισθούν σύµφωνα µε την απόφαση 1999/468/ΕΚ του Συµβουλίου, της 28ης Ιουνίου 1999, για τον καθορισµό των όρων άσκησης των εκτελεστικών αρµοδιοτήτων που ανατίθενται στην Επιτροπή (</w:t>
      </w:r>
      <w:r>
        <w:rPr>
          <w:sz w:val="30"/>
          <w:szCs w:val="30"/>
          <w:vertAlign w:val="superscript"/>
          <w:lang w:val="el" w:eastAsia="el"/>
        </w:rPr>
        <w:t>2</w:t>
      </w:r>
      <w:r>
        <w:rPr>
          <w:lang w:val="el" w:eastAsia="el"/>
        </w:rPr>
        <w:t>).</w:t>
      </w:r>
    </w:p>
    <w:p>
      <w:pPr>
        <w:pStyle w:val="PreambelText"/>
        <w:spacing w:before="240" w:after="240"/>
        <w:rPr>
          <w:lang w:val="el" w:eastAsia="el"/>
        </w:rPr>
      </w:pPr>
      <w:r>
        <w:rPr>
          <w:lang w:val="el" w:eastAsia="el"/>
        </w:rPr>
        <w:t>(37) Η παρούσα οδηγία ισχύει υπό την επιφύλαξη των προθε- σµιών εντός των οποίων τα κράτη µέλη οφείλουν να µεταφέ- ρουν στην εθνική νοµοθεσία και να εφαρµόσουν τις οδηγίες που αναφέρονται στο παράρτηµα ΙΙ,</w:t>
      </w:r>
    </w:p>
    <w:p>
      <w:pPr>
        <w:pStyle w:val="PreambelText"/>
        <w:spacing w:before="240" w:after="240"/>
        <w:rPr>
          <w:lang w:val="el" w:eastAsia="el"/>
        </w:rPr>
      </w:pPr>
      <w:r>
        <w:rPr>
          <w:lang w:val="el" w:eastAsia="el"/>
        </w:rPr>
        <w:t>(29) Η τεχνική και επιστηµονική πρόοδος στον τοµέα των προϊόντων καπνού επιβάλλουν την τακτική επαναξιολόγηση των διατάξεων της παρούσας οδηγίας και την εφαρµογή της στα κράτη µέλη. Για τον σκοπό αυτό, θα πρέπει να προβλε- φθεί διαδικασία για την εκπόνηση τακτικών εκθέσεων από την Επιτροπή, βασισµένων σε επιστηµονικά και τεχνικά δεδο- µένα. Στο πλαίσιο αυτό, ορισµένα δεδοµένα πρέπει να εξετάζονται ειδικότερα.</w:t>
      </w:r>
    </w:p>
    <w:p>
      <w:pPr>
        <w:pStyle w:val="PreambelText"/>
        <w:spacing w:before="240" w:after="240"/>
        <w:rPr>
          <w:lang w:val="el" w:eastAsia="el"/>
        </w:rPr>
      </w:pPr>
      <w:r>
        <w:rPr>
          <w:lang w:val="el" w:eastAsia="el"/>
        </w:rPr>
        <w:t>(30) Όσον αφορά τον καθορισµό των µέγιστων περιεκτικοτήτων, πρέπει να εξεταστούν, αφενός, η σκοπιµότητα µεταγενέ- στερης µείωσης των καθορισθεισών περιεκτικοτήτων, και ιδίως η σχέση µεταξύ των περιεκτικοτήτων αυτών, και, αφετέρου, η θέσπιση σχετικών προτύπων για τα προϊόντα εκτός των τσιγάρων, ιδίως για τον καπνό για στρίψιµο.</w:t>
      </w:r>
    </w:p>
    <w:p>
      <w:pPr>
        <w:pStyle w:val="PreambelText"/>
        <w:spacing w:before="240" w:after="240"/>
        <w:rPr>
          <w:lang w:val="el" w:eastAsia="el"/>
        </w:rPr>
      </w:pPr>
      <w:r>
        <w:rPr>
          <w:lang w:val="el" w:eastAsia="el"/>
        </w:rPr>
        <w:t>ΕΞΕ∆ΩΣΑΝ ΤΗΝ ΠΑΡΟΥΣΑ Ο∆ΗΓΙΑ:</w:t>
      </w:r>
    </w:p>
    <w:p>
      <w:pPr>
        <w:pStyle w:val="Heading6"/>
        <w:spacing w:before="240" w:after="240"/>
        <w:rPr>
          <w:lang w:val="el" w:eastAsia="el"/>
        </w:rPr>
      </w:pPr>
      <w:r>
        <w:rPr>
          <w:i/>
          <w:i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της παρούσας οδηγίας είναι η προσέγγιση των νοµοθε- τικών, κανονιστικών και διοικητικών διατάξεων των κρατών µελών σχετικά µε τη µέγιστη περιεκτικότητα των τσιγάρων σε πίσσα, σε νικοτίνη και σε µονοξείδιο του άνθρακα, τις προειδοποιήσεις οι οποίες αφορούν την υγεία και άλλες ενδείξεις που πρέπει να αναγράφονται στις µονάδες συσκευασίας των προϊόντων καπνού, καθώς και ορισµένα µέτρα τα οποία αφορούν τα συστατικά και την περιγραφή των προϊόντων καπνού, λαµβάνοντας ως βάση υψηλό επίπεδο προστασίας της υγείας.</w:t>
      </w:r>
    </w:p>
    <w:p>
      <w:pPr>
        <w:spacing w:before="240" w:after="240"/>
        <w:rPr>
          <w:lang w:val="el" w:eastAsia="el"/>
        </w:rPr>
      </w:pPr>
      <w:r>
        <w:rPr>
          <w:lang w:val="el" w:eastAsia="el"/>
        </w:rPr>
        <w:t>(31) Όσον αφορά τα προϊόντα καπνού, πλην των τσιγάρων, τα πρότυπα και οι µέθοδοι µετρήσεως πρέπει να αναπτυχθούν σε κοινοτικό επίπεδο και, για το σκοπό αυτό, θα πρέπει να</w:t>
      </w:r>
    </w:p>
    <w:p>
      <w:pPr>
        <w:spacing w:before="240" w:after="240"/>
        <w:rPr>
          <w:lang w:val="el" w:eastAsia="el"/>
        </w:rPr>
      </w:pPr>
      <w:r>
        <w:rPr>
          <w:lang w:val="el" w:eastAsia="el"/>
        </w:rPr>
        <w:t>(1) Άρθρο 26 του κανονισµού (ΕΟΚ) αριθ. 2075/92 του Συµβουλίου, της 30ής Ιουνίου 1992, για την κοινή οργάνωση αγοράς του ακατέργαστου καπνού (ΕΕ L 215 της 30.7.1992, σ. 70), όπως τροποποιήθηκε από τον κανονισµό (ΕΚ) αριθ. 1636/98 (ΕΕ L 210 της 28.7.1998, σ. 23). (</w:t>
      </w:r>
      <w:r>
        <w:rPr>
          <w:sz w:val="30"/>
          <w:szCs w:val="30"/>
          <w:vertAlign w:val="superscript"/>
          <w:lang w:val="el" w:eastAsia="el"/>
        </w:rPr>
        <w:t>2</w:t>
      </w:r>
      <w:r>
        <w:rPr>
          <w:lang w:val="el" w:eastAsia="el"/>
        </w:rPr>
        <w:t>) ΕΕ L 184 της 17.7.1999, σ. 23.</w:t>
      </w:r>
    </w:p>
    <w:p>
      <w:pPr>
        <w:pStyle w:val="Heading6"/>
        <w:spacing w:before="240" w:after="240"/>
        <w:rPr>
          <w:lang w:val="el" w:eastAsia="el"/>
        </w:rPr>
      </w:pPr>
      <w:r>
        <w:rPr>
          <w:i/>
          <w:iCs/>
          <w:lang w:val="el" w:eastAsia="el"/>
        </w:rPr>
        <w:t>Άρθρο 2</w:t>
      </w:r>
    </w:p>
    <w:p>
      <w:pPr>
        <w:pStyle w:val="Heading6"/>
        <w:spacing w:before="240" w:after="240"/>
        <w:rPr>
          <w:lang w:val="el" w:eastAsia="el"/>
        </w:rPr>
      </w:pPr>
      <w:r>
        <w:rPr>
          <w:b/>
          <w:bCs/>
          <w:lang w:val="el" w:eastAsia="el"/>
        </w:rPr>
        <w:t>Ορισµοί</w:t>
      </w:r>
    </w:p>
    <w:p>
      <w:pPr>
        <w:spacing w:before="240" w:after="240"/>
        <w:rPr>
          <w:lang w:val="el" w:eastAsia="el"/>
        </w:rPr>
      </w:pPr>
      <w:r>
        <w:rPr>
          <w:lang w:val="el" w:eastAsia="el"/>
        </w:rPr>
        <w:t>Για τους σκοπούς της παρούσας οδηγίας, νοούνται ως:</w:t>
      </w:r>
    </w:p>
    <w:p>
      <w:pPr>
        <w:pStyle w:val="MainText"/>
        <w:spacing w:before="120" w:after="0"/>
        <w:rPr>
          <w:lang w:val="el" w:eastAsia="el"/>
        </w:rPr>
      </w:pPr>
      <w:r>
        <w:rPr>
          <w:b/>
          <w:bCs/>
          <w:lang w:val="el" w:eastAsia="el"/>
        </w:rPr>
        <w:t>1.</w:t>
      </w:r>
      <w:r>
        <w:rPr>
          <w:lang w:val="el" w:eastAsia="el"/>
        </w:rPr>
        <w:t xml:space="preserve"> «προϊόντα καπνού»: τα προϊόντα που προορίζονται για κάπνι- σµα, εισπνοή, µύζηση ή µάσηµα, εφόσον αποτελούνται, έστω εν µέρει, από καπνό γενετικώς τροποποιηµένο ή µη·</w:t>
      </w:r>
    </w:p>
    <w:p>
      <w:pPr>
        <w:pStyle w:val="MainText"/>
        <w:spacing w:before="120" w:after="0"/>
        <w:rPr>
          <w:lang w:val="el" w:eastAsia="el"/>
        </w:rPr>
      </w:pPr>
      <w:r>
        <w:rPr>
          <w:b/>
          <w:bCs/>
          <w:lang w:val="el" w:eastAsia="el"/>
        </w:rPr>
        <w:t>2.</w:t>
      </w:r>
      <w:r>
        <w:rPr>
          <w:lang w:val="el" w:eastAsia="el"/>
        </w:rPr>
        <w:t xml:space="preserve"> «πίσσα»: το συµπύκνωµα άνυδρου, σε φυσική κατάσταση καπνού, άνευ νικοτίνης·</w:t>
      </w:r>
    </w:p>
    <w:p>
      <w:pPr>
        <w:pStyle w:val="MainText"/>
        <w:spacing w:before="120" w:after="0"/>
        <w:rPr>
          <w:lang w:val="el" w:eastAsia="el"/>
        </w:rPr>
      </w:pPr>
      <w:r>
        <w:rPr>
          <w:b/>
          <w:bCs/>
          <w:lang w:val="el" w:eastAsia="el"/>
        </w:rPr>
        <w:t>3.</w:t>
      </w:r>
      <w:r>
        <w:rPr>
          <w:lang w:val="el" w:eastAsia="el"/>
        </w:rPr>
        <w:t xml:space="preserve"> «νικοτίνη»: τα νικοτινικά αλκαλοειδή·</w:t>
      </w:r>
    </w:p>
    <w:p>
      <w:pPr>
        <w:pStyle w:val="MainText"/>
        <w:spacing w:before="120" w:after="0"/>
        <w:rPr>
          <w:lang w:val="el" w:eastAsia="el"/>
        </w:rPr>
      </w:pPr>
      <w:r>
        <w:rPr>
          <w:b/>
          <w:bCs/>
          <w:lang w:val="el" w:eastAsia="el"/>
        </w:rPr>
        <w:t>4.</w:t>
      </w:r>
      <w:r>
        <w:rPr>
          <w:lang w:val="el" w:eastAsia="el"/>
        </w:rPr>
        <w:t xml:space="preserve"> «καπνός που λαµβάνεται από το στόµα»: όλα τα προϊόντα τα οποία προορίζονται για λήψη από το στόµα, εξαιρουµένων εκείνων που προορίζονται για κάπνισµα ή µάσηµα, και τα οποία αποτελούνται εξ ολοκλήρου ή εν µέρει από καπνό, µε τη µορφή σκόνης ή λεπτών σωµατιδίων ή κάθε συνδυασµός αυτών των µορφών —ιδίως αυτά που συσκευάζονται σε φακελάκια µιας δόσης ή σε πορώδη φακελάκια— ή σε µορφή που παραπέµπει σε τρόφιµα·</w:t>
      </w:r>
    </w:p>
    <w:p>
      <w:pPr>
        <w:pStyle w:val="MainText"/>
        <w:spacing w:before="120" w:after="0"/>
        <w:rPr>
          <w:lang w:val="el" w:eastAsia="el"/>
        </w:rPr>
      </w:pPr>
      <w:r>
        <w:rPr>
          <w:b/>
          <w:bCs/>
          <w:lang w:val="el" w:eastAsia="el"/>
        </w:rPr>
        <w:t>5.</w:t>
      </w:r>
      <w:r>
        <w:rPr>
          <w:lang w:val="el" w:eastAsia="el"/>
        </w:rPr>
        <w:t xml:space="preserve"> «συστατικό»: οποιαδήποτε ουσία ή οποιοδήποτε στοιχείο, εκτός από τα φύλλα και άλλα φυσικά ή µη µεταποιηµένα µέρη του φυτού του καπνού, που χρησιµοποιούνται κατά την παραγωγή ή την παρασκευή ενός προϊόντος καπνού και εξακολουθούν να υπάρχουν στο τελικό προϊόν, έστω και µε αλλαγµένη µορφή, συµπεριλαµβανοµένου του τσιγαρόχαρτου, του φίλτρου, των µελανιών και της συγκολλητικής ύλης.</w:t>
      </w:r>
    </w:p>
    <w:p>
      <w:pPr>
        <w:pStyle w:val="Heading6"/>
        <w:spacing w:before="240" w:after="240"/>
        <w:rPr>
          <w:lang w:val="el" w:eastAsia="el"/>
        </w:rPr>
      </w:pPr>
      <w:r>
        <w:rPr>
          <w:i/>
          <w:iCs/>
          <w:lang w:val="el" w:eastAsia="el"/>
        </w:rPr>
        <w:t>Άρθρο 3</w:t>
      </w:r>
    </w:p>
    <w:p>
      <w:pPr>
        <w:pStyle w:val="Heading6"/>
        <w:spacing w:before="240" w:after="240"/>
        <w:rPr>
          <w:lang w:val="el" w:eastAsia="el"/>
        </w:rPr>
      </w:pPr>
      <w:r>
        <w:rPr>
          <w:b/>
          <w:bCs/>
          <w:lang w:val="el" w:eastAsia="el"/>
        </w:rPr>
        <w:t xml:space="preserve">Τσιγάρα: µέγιστη </w:t>
      </w:r>
    </w:p>
    <w:p>
      <w:pPr>
        <w:spacing w:before="240" w:after="240"/>
        <w:rPr>
          <w:lang w:val="el" w:eastAsia="el"/>
        </w:rPr>
      </w:pPr>
      <w:r>
        <w:rPr>
          <w:b/>
          <w:bCs/>
          <w:lang w:val="el" w:eastAsia="el"/>
        </w:rPr>
        <w:t>περιεκτικότητα σε πίσσα, σε νικοτίνη και σεµονοξείδιο του άνθρακα</w:t>
      </w:r>
    </w:p>
    <w:p>
      <w:pPr>
        <w:pStyle w:val="MainText"/>
        <w:spacing w:before="120" w:after="0"/>
        <w:rPr>
          <w:lang w:val="el" w:eastAsia="el"/>
        </w:rPr>
      </w:pPr>
      <w:r>
        <w:rPr>
          <w:b/>
          <w:bCs/>
          <w:lang w:val="el" w:eastAsia="el"/>
        </w:rPr>
        <w:t>1.</w:t>
      </w:r>
      <w:r>
        <w:rPr>
          <w:lang w:val="el" w:eastAsia="el"/>
        </w:rPr>
        <w:t xml:space="preserve"> Από την 1η Ιανουαρίου 2004, τα τσιγάρα που τίθενται σε ελεύθερη κυκλοφορία, διατίθενται στο εµπόριο ή παράγονται στα κράτη µέλη δεν µπορούν να έχουν περιεκτικότητα που να υπερβαίνει:</w:t>
      </w:r>
    </w:p>
    <w:p>
      <w:pPr>
        <w:spacing w:before="240" w:after="240"/>
        <w:rPr>
          <w:lang w:val="el" w:eastAsia="el"/>
        </w:rPr>
      </w:pPr>
      <w:r>
        <w:rPr>
          <w:lang w:val="el" w:eastAsia="el"/>
        </w:rPr>
        <w:t>— τα 10 mg ανά τσιγάρο όσον αφορά την πίσσα,</w:t>
      </w:r>
    </w:p>
    <w:p>
      <w:pPr>
        <w:spacing w:before="240" w:after="240"/>
        <w:rPr>
          <w:lang w:val="el" w:eastAsia="el"/>
        </w:rPr>
      </w:pPr>
      <w:r>
        <w:rPr>
          <w:lang w:val="el" w:eastAsia="el"/>
        </w:rPr>
        <w:t>— το 1 mg ανά τσιγάρο όσον αφορά τη νικοτίνη,</w:t>
      </w:r>
    </w:p>
    <w:p>
      <w:pPr>
        <w:spacing w:before="240" w:after="240"/>
        <w:rPr>
          <w:lang w:val="el" w:eastAsia="el"/>
        </w:rPr>
      </w:pPr>
      <w:r>
        <w:rPr>
          <w:lang w:val="el" w:eastAsia="el"/>
        </w:rPr>
        <w:t>— τα 10 mg ανά τσιγάρο όσον αφορά το µονοξείδιο του άνθρακα.</w:t>
      </w:r>
    </w:p>
    <w:p>
      <w:pPr>
        <w:pStyle w:val="MainText"/>
        <w:spacing w:before="120" w:after="0"/>
        <w:rPr>
          <w:lang w:val="el" w:eastAsia="el"/>
        </w:rPr>
      </w:pPr>
      <w:r>
        <w:rPr>
          <w:b/>
          <w:bCs/>
          <w:lang w:val="el" w:eastAsia="el"/>
        </w:rPr>
        <w:t>2.</w:t>
      </w:r>
      <w:r>
        <w:rPr>
          <w:lang w:val="el" w:eastAsia="el"/>
        </w:rPr>
        <w:t xml:space="preserve"> Κατά παρέκκλιση της ηµεροµηνίας που αναφέρεται στην παράγραφο 1, όσον αφορά τα τσιγάρα που παρασκευάζονται στην Ευρωπαϊκή Κοινότητα, αλλά προορίζονται για εξαγωγή, τα κράτη µέλη µπορούν να εφαρµόζουν τις οριακές περιεκτικότητες που προβλέπονται στο παρόν άρθρο από την 1η Ιανουαρίου 2005, αλλά υποχρεούνται οπωσδήποτε να τις εφαρµόζουν από την 1η Ιανουαρίου 2007 το αργότερο.</w:t>
      </w:r>
    </w:p>
    <w:p>
      <w:pPr>
        <w:pStyle w:val="MainText"/>
        <w:spacing w:before="120" w:after="0"/>
        <w:rPr>
          <w:lang w:val="el" w:eastAsia="el"/>
        </w:rPr>
      </w:pPr>
      <w:r>
        <w:rPr>
          <w:b/>
          <w:bCs/>
          <w:lang w:val="el" w:eastAsia="el"/>
        </w:rPr>
        <w:t>3.</w:t>
      </w:r>
      <w:r>
        <w:rPr>
          <w:lang w:val="el" w:eastAsia="el"/>
        </w:rPr>
        <w:t xml:space="preserve"> Για την Ελληνική ∆ηµοκρατία, ως προσωρινή παρέκκλιση, η ηµεροµηνία θέσης σε εφαρµογή της µέγιστης περιεκτικότητας σε πίσσα των τσιγάρων που παράγονται και διατίθενται στο εµπόριο στην επικράτειά της, όπως αναφέρεται στην παράγραφο 1, είναι η 1η Ιανουαρίου 2007.</w:t>
      </w:r>
    </w:p>
    <w:p>
      <w:pPr>
        <w:pStyle w:val="Heading6"/>
        <w:spacing w:before="240" w:after="240"/>
        <w:rPr>
          <w:lang w:val="el" w:eastAsia="el"/>
        </w:rPr>
      </w:pPr>
      <w:r>
        <w:rPr>
          <w:i/>
          <w:iCs/>
          <w:lang w:val="el" w:eastAsia="el"/>
        </w:rPr>
        <w:t>Άρθρο 4</w:t>
      </w:r>
    </w:p>
    <w:p>
      <w:pPr>
        <w:pStyle w:val="Heading6"/>
        <w:spacing w:before="240" w:after="240"/>
        <w:rPr>
          <w:lang w:val="el" w:eastAsia="el"/>
        </w:rPr>
      </w:pPr>
      <w:r>
        <w:rPr>
          <w:b/>
          <w:bCs/>
          <w:lang w:val="el" w:eastAsia="el"/>
        </w:rPr>
        <w:t>Μέθοδοι µέτρησης</w:t>
      </w:r>
    </w:p>
    <w:p>
      <w:pPr>
        <w:pStyle w:val="MainText"/>
        <w:spacing w:before="120" w:after="0"/>
        <w:rPr>
          <w:lang w:val="el" w:eastAsia="el"/>
        </w:rPr>
      </w:pPr>
      <w:r>
        <w:rPr>
          <w:b/>
          <w:bCs/>
          <w:lang w:val="el" w:eastAsia="el"/>
        </w:rPr>
        <w:t>1.</w:t>
      </w:r>
      <w:r>
        <w:rPr>
          <w:lang w:val="el" w:eastAsia="el"/>
        </w:rPr>
        <w:t xml:space="preserve"> Οι περιεκτικότητες των τσιγάρων σε πίσσα, νικοτίνη και µονοξείδιο του άνθρακα, µετρούνται βάσει των προτύπων ISO 4387 για την πίσσα, ISO 10315 για τη νικοτίνη και ISO 8454 για το µονοξείδιο του άνθρακα.</w:t>
      </w:r>
    </w:p>
    <w:p>
      <w:pPr>
        <w:spacing w:before="240" w:after="240"/>
        <w:rPr>
          <w:lang w:val="el" w:eastAsia="el"/>
        </w:rPr>
      </w:pPr>
      <w:r>
        <w:rPr>
          <w:lang w:val="el" w:eastAsia="el"/>
        </w:rPr>
        <w:t>Η ακρίβεια των ενδείξεων στα πακέτα όσον αφορά την πίσσα και τη νικοτίνη ελέγχεται σύµφωνα µε το πρότυπο ISO 8243.</w:t>
      </w:r>
    </w:p>
    <w:p>
      <w:pPr>
        <w:pStyle w:val="MainText"/>
        <w:spacing w:before="120" w:after="0"/>
        <w:rPr>
          <w:lang w:val="el" w:eastAsia="el"/>
        </w:rPr>
      </w:pPr>
      <w:r>
        <w:rPr>
          <w:b/>
          <w:bCs/>
          <w:lang w:val="el" w:eastAsia="el"/>
        </w:rPr>
        <w:t>2.</w:t>
      </w:r>
      <w:r>
        <w:rPr>
          <w:lang w:val="el" w:eastAsia="el"/>
        </w:rPr>
        <w:t xml:space="preserve"> Οι δοκιµές που αναφέρονται στην παράγραφο 1 πραγµατο- ποιούνται ή ελέγχονται σε εργαστήρια δοκιµών, εγκεκριµένα και ελεγχόµενα από τις αρµόδιες αρχές των κρατών µελών.</w:t>
      </w:r>
    </w:p>
    <w:p>
      <w:pPr>
        <w:spacing w:before="240" w:after="240"/>
        <w:rPr>
          <w:lang w:val="el" w:eastAsia="el"/>
        </w:rPr>
      </w:pPr>
      <w:r>
        <w:rPr>
          <w:lang w:val="el" w:eastAsia="el"/>
        </w:rPr>
        <w:t>Τα κράτη µέλη διαβιβάζουν στην Επιτροπή, µέχρι τις 30 Σεπτεµ- βρίου 2002, και µε την ευκαιρία κάθε τροποποίησης, κατάλογο των εγκεκριµένων εργαστηρίων, καθορίζοντας τα κριτήρια που χρησιµοποιούνται για την έγκριση και τις µεθόδους εποπτείας που εφαρµόζονται.</w:t>
      </w:r>
    </w:p>
    <w:p>
      <w:pPr>
        <w:pStyle w:val="MainText"/>
        <w:spacing w:before="120" w:after="0"/>
        <w:rPr>
          <w:lang w:val="el" w:eastAsia="el"/>
        </w:rPr>
      </w:pPr>
      <w:r>
        <w:rPr>
          <w:b/>
          <w:bCs/>
          <w:lang w:val="el" w:eastAsia="el"/>
        </w:rPr>
        <w:t>3.</w:t>
      </w:r>
      <w:r>
        <w:rPr>
          <w:lang w:val="el" w:eastAsia="el"/>
        </w:rPr>
        <w:t xml:space="preserve"> Τα κράτη µέλη µπορούν επίσης να απαιτούν από τους καπνο- βιοµηχάνους ή τους εισαγωγείς καπνού να πραγµατοποιούν κάθε άλλη δοκιµή επιβαλλόµενη από τις αρµόδιες εθνικές αρχές προκει- µένου να υπολογιστεί η περιεκτικότητα άλλων ουσιών που παράγονται από τα προϊόντα καπνού τους ανά µάρκα και τύπο και να εκτιµηθούν οι συνέπειες αυτών των ουσιών για την υγεία, λαµβάνο- ντας υπόψη, µεταξύ άλλων, και τον κίνδυνο εθισµού που συνεπάγονται. Τα κράτη µέλη µπορούν επίσης να απαιτούν οι δοκιµές αυτές να πραγµατοποιούνται ή να ελέγχονται στα εγκεκριµένα εργαστήρια δοκιµών, όπως αναφέρεται στην παράγραφο 2.</w:t>
      </w:r>
    </w:p>
    <w:p>
      <w:pPr>
        <w:pStyle w:val="MainText"/>
        <w:spacing w:before="120" w:after="0"/>
        <w:rPr>
          <w:lang w:val="el" w:eastAsia="el"/>
        </w:rPr>
      </w:pPr>
      <w:r>
        <w:rPr>
          <w:b/>
          <w:bCs/>
          <w:lang w:val="el" w:eastAsia="el"/>
        </w:rPr>
        <w:t>4.</w:t>
      </w:r>
      <w:r>
        <w:rPr>
          <w:lang w:val="el" w:eastAsia="el"/>
        </w:rPr>
        <w:t xml:space="preserve"> Τα αποτελέσµατα των δοκιµών που πραγµατοποιούνται σύµφωνα µε τις διατάξεις της παραγράφου 3, υποβάλλονται στις οικείες εθνικές αρχές σε ετήσια βάση. Τα κράτη µέλη δύνανται να προβλέπουν ότι τα αποτελέσµατα των δοκιµών κοινοποιούνται σε πιο αραιά χρονικά διαστήµατα, εάν οι προδιαγραφές του προϊόντος δεν έχουν µεταβληθεί. Τα κράτη µέλη ενηµερώνονται για τις τυχόν µεταβολές των εν λόγω προδιαγραφών του προϊόντος.</w:t>
      </w:r>
    </w:p>
    <w:p>
      <w:pPr>
        <w:spacing w:before="240" w:after="240"/>
        <w:rPr>
          <w:lang w:val="el" w:eastAsia="el"/>
        </w:rPr>
      </w:pPr>
      <w:r>
        <w:rPr>
          <w:lang w:val="el" w:eastAsia="el"/>
        </w:rPr>
        <w:t>Τα κράτη µέλη εξασφαλίζουν τη διάδοση, µε κάθε κατάλληλο µέσο, των πληροφοριών που υποβάλλονται σύµφωνα µε το παρόν άρθρο, προκειµένου να ενηµερώνονται οι καταναλωτές, λαµβάνο- ντας υπόψη, όπου χρειάζεται, τις πληροφορίες που αποτελούν εµπορικό απόρρητο.</w:t>
      </w:r>
    </w:p>
    <w:p>
      <w:pPr>
        <w:pStyle w:val="MainText"/>
        <w:spacing w:before="120" w:after="0"/>
        <w:rPr>
          <w:lang w:val="el" w:eastAsia="el"/>
        </w:rPr>
      </w:pPr>
      <w:r>
        <w:rPr>
          <w:b/>
          <w:bCs/>
          <w:lang w:val="el" w:eastAsia="el"/>
        </w:rPr>
        <w:t>5.</w:t>
      </w:r>
      <w:r>
        <w:rPr>
          <w:lang w:val="el" w:eastAsia="el"/>
        </w:rPr>
        <w:t xml:space="preserve"> Τα κράτη µέλη διαβιβάζουν κατ’ έτος στην Επιτροπή όλα τα στοιχεία και τις πληροφορίες που υποβάλλονται σύµφωνα µε το παρόν άρθρο, η οποία τα λαµβάνει υπόψη κατά την εκπόνηση της έκθεσης που αναφέρεται στο άρθρο 11.</w:t>
      </w:r>
    </w:p>
    <w:p>
      <w:pPr>
        <w:pStyle w:val="Heading6"/>
        <w:spacing w:before="240" w:after="240"/>
        <w:rPr>
          <w:lang w:val="el" w:eastAsia="el"/>
        </w:rPr>
      </w:pPr>
      <w:r>
        <w:rPr>
          <w:i/>
          <w:iCs/>
          <w:lang w:val="el" w:eastAsia="el"/>
        </w:rPr>
        <w:t>Άρθρο 5</w:t>
      </w:r>
    </w:p>
    <w:p>
      <w:pPr>
        <w:pStyle w:val="Heading6"/>
        <w:spacing w:before="240" w:after="240"/>
        <w:rPr>
          <w:lang w:val="el" w:eastAsia="el"/>
        </w:rPr>
      </w:pPr>
      <w:r>
        <w:rPr>
          <w:b/>
          <w:bCs/>
          <w:lang w:val="el" w:eastAsia="el"/>
        </w:rPr>
        <w:t>Σήµανση</w:t>
      </w:r>
    </w:p>
    <w:p>
      <w:pPr>
        <w:pStyle w:val="MainText"/>
        <w:spacing w:before="120" w:after="0"/>
        <w:rPr>
          <w:lang w:val="el" w:eastAsia="el"/>
        </w:rPr>
      </w:pPr>
      <w:r>
        <w:rPr>
          <w:b/>
          <w:bCs/>
          <w:lang w:val="el" w:eastAsia="el"/>
        </w:rPr>
        <w:t>1.</w:t>
      </w:r>
      <w:r>
        <w:rPr>
          <w:lang w:val="el" w:eastAsia="el"/>
        </w:rPr>
        <w:t xml:space="preserve"> Οι περιεκτικότητες των τσιγάρων σε πίσσα, σε νικοτίνη και σε µονοξείδιο του άνθρακα, οι οποίες µετρούνται σύµφωνα µε το άρθρο 4, τυπώνονται σε µια από τις πλάγιες όψεις του πακέτου τσιγάρων, στην επίσηµη γλώσσα ή γλώσσες του κράτους µέλους στο οποίο το προϊόν διατίθεται στο εµπόριο, έτσι ώστε να καλύπτεται τουλάχιστον το 10 % της αντίστοιχης επιφάνειας.</w:t>
      </w:r>
    </w:p>
    <w:p>
      <w:pPr>
        <w:spacing w:before="240" w:after="240"/>
        <w:rPr>
          <w:lang w:val="el" w:eastAsia="el"/>
        </w:rPr>
      </w:pPr>
      <w:r>
        <w:rPr>
          <w:lang w:val="el" w:eastAsia="el"/>
        </w:rPr>
        <w:t>Το ποσοστό αυτό αυξάνεται σε 12 % για τα κράτη µέλη µε δύο επίσηµες γλώσσες και σε 15 % για τα κράτη µέλη µε τρεις επίσηµες γλώσσες.</w:t>
      </w:r>
    </w:p>
    <w:p>
      <w:pPr>
        <w:pStyle w:val="MainText"/>
        <w:spacing w:before="120" w:after="0"/>
        <w:rPr>
          <w:lang w:val="el" w:eastAsia="el"/>
        </w:rPr>
      </w:pPr>
      <w:r>
        <w:rPr>
          <w:b/>
          <w:bCs/>
          <w:lang w:val="el" w:eastAsia="el"/>
        </w:rPr>
        <w:t>2.</w:t>
      </w:r>
      <w:r>
        <w:rPr>
          <w:lang w:val="el" w:eastAsia="el"/>
        </w:rPr>
        <w:t xml:space="preserve"> Κάθε µονάδα συσκευασίας προϊόντων καπνού, εκτός από τα προϊόντα καπνού που λαµβάνονται από το στόµα και άλλα µη καπνιζόµενα προϊόντα καπνού, πρέπει να φέρει τις ακόλουθες προειδοποιήσεις:</w:t>
      </w:r>
    </w:p>
    <w:p>
      <w:pPr>
        <w:pStyle w:val="StructureList1"/>
        <w:spacing w:before="120" w:after="0"/>
        <w:rPr>
          <w:lang w:val="el" w:eastAsia="el"/>
        </w:rPr>
      </w:pPr>
      <w:r>
        <w:rPr>
          <w:lang w:val="el" w:eastAsia="el"/>
        </w:rPr>
        <w:t>α)</w:t>
      </w:r>
      <w:r>
        <w:rPr>
          <w:lang w:val="en" w:eastAsia="en"/>
        </w:rPr>
        <w:tab/>
      </w:r>
      <w:r>
        <w:rPr>
          <w:lang w:val="el" w:eastAsia="el"/>
        </w:rPr>
        <w:t>Γενικές προειδοποιήσεις:</w:t>
      </w:r>
    </w:p>
    <w:p>
      <w:pPr>
        <w:pStyle w:val="MainText"/>
        <w:spacing w:before="120" w:after="0"/>
        <w:rPr>
          <w:lang w:val="el" w:eastAsia="el"/>
        </w:rPr>
      </w:pPr>
      <w:r>
        <w:rPr>
          <w:b/>
          <w:bCs/>
          <w:lang w:val="el" w:eastAsia="el"/>
        </w:rPr>
        <w:t>1.</w:t>
      </w:r>
      <w:r>
        <w:rPr>
          <w:lang w:val="el" w:eastAsia="el"/>
        </w:rPr>
        <w:t xml:space="preserve"> «Το κάπνισµα σκοτώνει» ή «Το κάπνισµα µπορεί να σκοτώσει».</w:t>
      </w:r>
    </w:p>
    <w:p>
      <w:pPr>
        <w:pStyle w:val="MainText"/>
        <w:spacing w:before="120" w:after="0"/>
        <w:rPr>
          <w:lang w:val="el" w:eastAsia="el"/>
        </w:rPr>
      </w:pPr>
      <w:r>
        <w:rPr>
          <w:b/>
          <w:bCs/>
          <w:lang w:val="el" w:eastAsia="el"/>
        </w:rPr>
        <w:t>2.</w:t>
      </w:r>
      <w:r>
        <w:rPr>
          <w:lang w:val="el" w:eastAsia="el"/>
        </w:rPr>
        <w:t xml:space="preserve"> «Το κάπνισµα βλάπτει σοβαρά εσάς και τους γύρω σας».</w:t>
      </w:r>
    </w:p>
    <w:p>
      <w:pPr>
        <w:spacing w:before="240" w:after="240"/>
        <w:rPr>
          <w:lang w:val="el" w:eastAsia="el"/>
        </w:rPr>
      </w:pPr>
      <w:r>
        <w:rPr>
          <w:lang w:val="el" w:eastAsia="el"/>
        </w:rPr>
        <w:t>Οι γενικές προειδοποιήσεις που αναφέρονται ανωτέρω εναλλάσσονται κατά τρόπον ώστε να διασφαλίζεται η τακτική τους εµφάνιση. Η προειδοποίηση τυπώνεται στην πιο ορατή επιφάνεια της µονάδας συσκευασίας και σε κάθε εξωτερική συσκευα- σία, εκτός του διαφανούς περιτυλίγµατος, που χρησιµοποιείται στη λιανική πώληση του προϊόντος.</w:t>
      </w:r>
    </w:p>
    <w:p>
      <w:pPr>
        <w:pStyle w:val="StructureList1"/>
        <w:spacing w:before="120" w:after="0"/>
        <w:rPr>
          <w:lang w:val="el" w:eastAsia="el"/>
        </w:rPr>
      </w:pPr>
      <w:r>
        <w:rPr>
          <w:lang w:val="el" w:eastAsia="el"/>
        </w:rPr>
        <w:t>β)</w:t>
      </w:r>
      <w:r>
        <w:rPr>
          <w:lang w:val="en" w:eastAsia="en"/>
        </w:rPr>
        <w:tab/>
      </w:r>
      <w:r>
        <w:rPr>
          <w:lang w:val="el" w:eastAsia="el"/>
        </w:rPr>
        <w:t>Μια συµπληρωµατική προειδοποίηση η οποία λαµβάνεται από τον κατάλογο του παραρτήµατος Ι.</w:t>
      </w:r>
    </w:p>
    <w:p>
      <w:pPr>
        <w:spacing w:before="240" w:after="240"/>
        <w:rPr>
          <w:lang w:val="el" w:eastAsia="el"/>
        </w:rPr>
      </w:pPr>
      <w:r>
        <w:rPr>
          <w:lang w:val="el" w:eastAsia="el"/>
        </w:rPr>
        <w:t>Οι προαναφερόµενες συµπληρωµατικές προειδοποιήσεις εναλλάσσονται κατά τρόπο που να εξασφαλίζει την τακτική εµφά- νισή τους.</w:t>
      </w:r>
    </w:p>
    <w:p>
      <w:pPr>
        <w:spacing w:before="240" w:after="240"/>
        <w:rPr>
          <w:lang w:val="el" w:eastAsia="el"/>
        </w:rPr>
      </w:pPr>
      <w:r>
        <w:rPr>
          <w:lang w:val="el" w:eastAsia="el"/>
        </w:rPr>
        <w:t>Η προειδοποίηση αυτή τυπώνεται στην άλλη περισσότερο ορατή επιφάνεια της µονάδας συσκευασίας και σε κάθε εξωτερική συσκευασία, εκτός του διαφανούς περιτυλίγµατος, που χρησιµο- ποιείται στη λιανική πώληση του προϊόντος.</w:t>
      </w:r>
    </w:p>
    <w:p>
      <w:pPr>
        <w:spacing w:before="240" w:after="240"/>
        <w:rPr>
          <w:lang w:val="el" w:eastAsia="el"/>
        </w:rPr>
      </w:pPr>
      <w:r>
        <w:rPr>
          <w:lang w:val="el" w:eastAsia="el"/>
        </w:rPr>
        <w:t>Τα κράτη µέλη µπορούν να καθορίσουν τη θέση των προειδοποιήσεων στις επιφάνειες αυτές ανάλογα µε τις γλωσσικές απαιτήσεις.</w:t>
      </w:r>
    </w:p>
    <w:p>
      <w:pPr>
        <w:pStyle w:val="MainText"/>
        <w:spacing w:before="120" w:after="0"/>
        <w:rPr>
          <w:lang w:val="el" w:eastAsia="el"/>
        </w:rPr>
      </w:pPr>
      <w:r>
        <w:rPr>
          <w:b/>
          <w:bCs/>
          <w:lang w:val="el" w:eastAsia="el"/>
        </w:rPr>
        <w:t>3.</w:t>
      </w:r>
      <w:r>
        <w:rPr>
          <w:lang w:val="el" w:eastAsia="el"/>
        </w:rPr>
        <w:t xml:space="preserve"> Η Επιτροπή, µόλις τούτο καταστεί εφικτό και σε κάθε περίπτωση όχι αργότερα από τις 31 ∆εκεµβρίου 2002, σύµφωνα µε τη διαδικασία του άρθρου 10 παράγραφος 2, θεσπίζει κανόνες για τη χρήση έγχρωµων φωτογραφιών ή άλλων εικονογραφήσεων που παριστάνουν και επεξηγούν τις συνέπειες του καπνίσµατος για την υγεία, προκειµένου να εξασφαλισθεί ότι δεν υπονοµεύονται οι διατάξεις της εσωτερικής αγοράς.</w:t>
      </w:r>
    </w:p>
    <w:p>
      <w:pPr>
        <w:spacing w:before="240" w:after="240"/>
        <w:rPr>
          <w:lang w:val="el" w:eastAsia="el"/>
        </w:rPr>
      </w:pPr>
      <w:r>
        <w:rPr>
          <w:lang w:val="el" w:eastAsia="el"/>
        </w:rPr>
        <w:t>Όταν τα κράτη µέλη απαιτούν συµπληρωµατικές προειδοποιήσεις υπό µορφή έγχρωµων φωτογραφιών ή άλλων εικονογραφήσεων, αυτές συµφωνούν µε τους προαναφερθέντες κανόνες.</w:t>
      </w:r>
    </w:p>
    <w:p>
      <w:pPr>
        <w:pStyle w:val="MainText"/>
        <w:spacing w:before="120" w:after="0"/>
        <w:rPr>
          <w:lang w:val="el" w:eastAsia="el"/>
        </w:rPr>
      </w:pPr>
      <w:r>
        <w:rPr>
          <w:b/>
          <w:bCs/>
          <w:lang w:val="el" w:eastAsia="el"/>
        </w:rPr>
        <w:t>4.</w:t>
      </w:r>
      <w:r>
        <w:rPr>
          <w:lang w:val="el" w:eastAsia="el"/>
        </w:rPr>
        <w:t xml:space="preserve"> Τα προϊόντα καπνού που λαµβάνονται από το στόµα και η διάθεση των οποίων επιτρέπεται στο εµπόριο δυνάµει του άρθρου 8 και τα µη καπνιζόµενα προϊόντα καπνού, φέρουν την ακόλουθη προειδοποίηση:</w:t>
      </w:r>
    </w:p>
    <w:p>
      <w:pPr>
        <w:spacing w:before="240" w:after="240"/>
        <w:rPr>
          <w:lang w:val="el" w:eastAsia="el"/>
        </w:rPr>
      </w:pPr>
      <w:r>
        <w:rPr>
          <w:lang w:val="el" w:eastAsia="el"/>
        </w:rPr>
        <w:t>«Αυτό το προϊόν καπνού µπορεί να βλάψει την υγεία σας και προκαλεί εξάρτηση».</w:t>
      </w:r>
    </w:p>
    <w:p>
      <w:pPr>
        <w:spacing w:before="240" w:after="240"/>
        <w:rPr>
          <w:lang w:val="el" w:eastAsia="el"/>
        </w:rPr>
      </w:pPr>
      <w:r>
        <w:rPr>
          <w:lang w:val="el" w:eastAsia="el"/>
        </w:rPr>
        <w:t>Η προειδοποίηση αυτή τυπώνεται στην περισσότερο ορατή επιφάνεια της µονάδας συσκευασίας και σε κάθε εξωτερική συσκευασία, εκτός του διαφανούς περιτυλίγµατος, η οποία χρησιµοποιείται στη λιανική πώληση του προϊόντος.</w:t>
      </w:r>
    </w:p>
    <w:p>
      <w:pPr>
        <w:spacing w:before="240" w:after="240"/>
        <w:rPr>
          <w:lang w:val="el" w:eastAsia="el"/>
        </w:rPr>
      </w:pPr>
      <w:r>
        <w:rPr>
          <w:lang w:val="el" w:eastAsia="el"/>
        </w:rPr>
        <w:t>Τα κράτη µέλη µπορούν να καθορίσουν τη θέση της προειδοποίησης στην επιφάνεια αυτή ανάλογα µε τις γλωσσικές απαιτήσεις.</w:t>
      </w:r>
    </w:p>
    <w:p>
      <w:pPr>
        <w:pStyle w:val="MainText"/>
        <w:spacing w:before="120" w:after="0"/>
        <w:rPr>
          <w:lang w:val="el" w:eastAsia="el"/>
        </w:rPr>
      </w:pPr>
      <w:r>
        <w:rPr>
          <w:b/>
          <w:bCs/>
          <w:lang w:val="el" w:eastAsia="el"/>
        </w:rPr>
        <w:t>5.</w:t>
      </w:r>
      <w:r>
        <w:rPr>
          <w:lang w:val="el" w:eastAsia="el"/>
        </w:rPr>
        <w:t xml:space="preserve"> Η γενική προειδοποίηση που απαιτείται σύµφωνα µε την παράγραφο 2 στοιχείο α) και η προειδοποίηση για τα µη καπνιζό- µενα προϊόντα καπνού και τα προϊόντα καπνού που λαµβάνονται από το στόµα, τα οποία αναφέρονται στην παράγραφο 4, καλύπτουν τουλάχιστον το 30 % της εξωτερικής επιφάνειας της αντίστοιχης πλευράς της µονάδας συσκευασίας καπνού στην οποία τυπώνονται. Το ποσοστό αυτό αυξάνεται σε 32 % για τα κράτη µέλη µε δύο επίσηµες γλώσσες και σε 35 % για τα κράτη µέλη µε τρεις επίσηµες γλώσσες. Η συµπληρωµατική προειδοποίηση που αναφέρεται στην παράγραφο 2 στοιχείο β) καλύπτει τουλάχιστον το 40 % της εξωτερικής επιφάνειας της αντίστοιχης πλευράς της ατοµικής συσκευασίας του καπνού στην οποία τυπώνεται. Το ποσοστό αυτό αυξάνεται σε 45 % για τα κράτη µέλη µε δύο επίσηµες γλώσσες και σε 50 % για τα κράτη µέλη µε τρεις επίσηµες γλώσσες.</w:t>
      </w:r>
    </w:p>
    <w:p>
      <w:pPr>
        <w:spacing w:before="240" w:after="240"/>
        <w:rPr>
          <w:lang w:val="el" w:eastAsia="el"/>
        </w:rPr>
      </w:pPr>
      <w:r>
        <w:rPr>
          <w:lang w:val="el" w:eastAsia="el"/>
        </w:rPr>
        <w:t>Ωστόσο, όσον αφορά τις µονάδες συσκευασίας που προορίζονται για προϊόντα εκτός των τσιγάρων, η πιο ορατή επιφάνεια των οποίων υπερβαίνει τα 75 cm</w:t>
      </w:r>
      <w:r>
        <w:rPr>
          <w:sz w:val="30"/>
          <w:szCs w:val="30"/>
          <w:vertAlign w:val="superscript"/>
          <w:lang w:val="el" w:eastAsia="el"/>
        </w:rPr>
        <w:t>2</w:t>
      </w:r>
      <w:r>
        <w:rPr>
          <w:lang w:val="el" w:eastAsia="el"/>
        </w:rPr>
        <w:t>, οι προειδοποιήσεις που αναφέρονται στην παράγραφο 2 καλύπτουν τουλάχιστον 22,5 cm</w:t>
      </w:r>
      <w:r>
        <w:rPr>
          <w:sz w:val="30"/>
          <w:szCs w:val="30"/>
          <w:vertAlign w:val="superscript"/>
          <w:lang w:val="el" w:eastAsia="el"/>
        </w:rPr>
        <w:t>2</w:t>
      </w:r>
      <w:r>
        <w:rPr>
          <w:lang w:val="el" w:eastAsia="el"/>
        </w:rPr>
        <w:t xml:space="preserve"> σε κάθε επιφάνεια. Το µέγεθος αυτό αυξάνεται σε 24 cm</w:t>
      </w:r>
      <w:r>
        <w:rPr>
          <w:sz w:val="30"/>
          <w:szCs w:val="30"/>
          <w:vertAlign w:val="superscript"/>
          <w:lang w:val="el" w:eastAsia="el"/>
        </w:rPr>
        <w:t>2</w:t>
      </w:r>
      <w:r>
        <w:rPr>
          <w:lang w:val="el" w:eastAsia="el"/>
        </w:rPr>
        <w:t xml:space="preserve"> για τα κράτη µέλη µε δύο επίσηµες γλώσσες και σε 26,25 cm</w:t>
      </w:r>
      <w:r>
        <w:rPr>
          <w:sz w:val="30"/>
          <w:szCs w:val="30"/>
          <w:vertAlign w:val="superscript"/>
          <w:lang w:val="el" w:eastAsia="el"/>
        </w:rPr>
        <w:t>2</w:t>
      </w:r>
      <w:r>
        <w:rPr>
          <w:lang w:val="el" w:eastAsia="el"/>
        </w:rPr>
        <w:t xml:space="preserve"> για τα κράτη µέλη µε τρεις επίσηµες γλώσσες.</w:t>
      </w:r>
    </w:p>
    <w:p>
      <w:pPr>
        <w:pStyle w:val="MainText"/>
        <w:spacing w:before="120" w:after="0"/>
        <w:rPr>
          <w:lang w:val="el" w:eastAsia="el"/>
        </w:rPr>
      </w:pPr>
      <w:r>
        <w:rPr>
          <w:b/>
          <w:bCs/>
          <w:lang w:val="el" w:eastAsia="el"/>
        </w:rPr>
        <w:t>6.</w:t>
      </w:r>
      <w:r>
        <w:rPr>
          <w:lang w:val="el" w:eastAsia="el"/>
        </w:rPr>
        <w:t xml:space="preserve"> Το κείµενο των προειδοποιήσεων και οι ενδείξεις της περιεκτικότητας που απαιτούνται από το παρόν άρθρο:</w:t>
      </w:r>
    </w:p>
    <w:p>
      <w:pPr>
        <w:pStyle w:val="StructureList1"/>
        <w:spacing w:before="120" w:after="0"/>
        <w:rPr>
          <w:lang w:val="el" w:eastAsia="el"/>
        </w:rPr>
      </w:pPr>
      <w:r>
        <w:rPr>
          <w:lang w:val="el" w:eastAsia="el"/>
        </w:rPr>
        <w:t>α)</w:t>
      </w:r>
      <w:r>
        <w:rPr>
          <w:lang w:val="en" w:eastAsia="en"/>
        </w:rPr>
        <w:tab/>
      </w:r>
      <w:r>
        <w:rPr>
          <w:lang w:val="el" w:eastAsia="el"/>
        </w:rPr>
        <w:t>τυπώνονται µε έντονα µαύρα στοιχεία τύπου Helvetica σε άσπρο φόντο. Ανάλογα µε τις γλωσσικές απαιτήσεις, τα κράτη µέλη µπορούν να επιλέγουν το µέγεθος των στοιχείων, υπό τον όρο ότι το µέγεθος των στοιχείων που καθορίζεται στη νοµοθε- σία τους είναι τέτοιο ώστε να καλύπτεται όσο το δυνατόν µεγαλύτερο µέρος της επιφάνειας η οποία διατίθεται στο απαι- τούµενο κείµενο·</w:t>
      </w:r>
    </w:p>
    <w:p>
      <w:pPr>
        <w:pStyle w:val="StructureList1"/>
        <w:spacing w:before="120" w:after="0"/>
        <w:rPr>
          <w:lang w:val="el" w:eastAsia="el"/>
        </w:rPr>
      </w:pPr>
      <w:r>
        <w:rPr>
          <w:lang w:val="el" w:eastAsia="el"/>
        </w:rPr>
        <w:t>β)</w:t>
      </w:r>
      <w:r>
        <w:rPr>
          <w:lang w:val="en" w:eastAsia="en"/>
        </w:rPr>
        <w:tab/>
      </w:r>
      <w:r>
        <w:rPr>
          <w:lang w:val="el" w:eastAsia="el"/>
        </w:rPr>
        <w:t>γράφονται µε µικρά γράµµατα, εκτός από το αρχικό γράµµα του µηνύµατος καθώς και, όταν απαιτείται, σύµφωνα µε τους κανόνες της γραµµατικής·</w:t>
      </w:r>
    </w:p>
    <w:p>
      <w:pPr>
        <w:pStyle w:val="StructureList1"/>
        <w:spacing w:before="120" w:after="0"/>
        <w:rPr>
          <w:lang w:val="el" w:eastAsia="el"/>
        </w:rPr>
      </w:pPr>
      <w:r>
        <w:rPr>
          <w:lang w:val="el" w:eastAsia="el"/>
        </w:rPr>
        <w:t>γ)</w:t>
      </w:r>
      <w:r>
        <w:rPr>
          <w:lang w:val="en" w:eastAsia="en"/>
        </w:rPr>
        <w:tab/>
      </w:r>
      <w:r>
        <w:rPr>
          <w:lang w:val="el" w:eastAsia="el"/>
        </w:rPr>
        <w:t>τοποθετούνται στο κέντρο της επιφάνειας όπου πρέπει να τυπωθεί το κείµενο και, παράλληλα, προς το επάνω άκρο του πακέτου·</w:t>
      </w:r>
    </w:p>
    <w:p>
      <w:pPr>
        <w:pStyle w:val="StructureList1"/>
        <w:spacing w:before="120" w:after="0"/>
        <w:rPr>
          <w:lang w:val="el" w:eastAsia="el"/>
        </w:rPr>
      </w:pPr>
      <w:r>
        <w:rPr>
          <w:lang w:val="el" w:eastAsia="el"/>
        </w:rPr>
        <w:t>δ)</w:t>
      </w:r>
      <w:r>
        <w:rPr>
          <w:lang w:val="en" w:eastAsia="en"/>
        </w:rPr>
        <w:tab/>
      </w:r>
      <w:r>
        <w:rPr>
          <w:lang w:val="el" w:eastAsia="el"/>
        </w:rPr>
        <w:t>για τα προϊόντα εκτός από αυτά που αναφέρονται στην παράγραφο 4, περιβάλλονται από µαύρο περίγραµµα ελάχιστου πάχους 3 mm και µέγιστου 4 mm, το οποίο δεν ενοχλεί από καµία άποψη την ανάγνωση της προειδοποίησης ή των πληροφοριών που παρέχονται·</w:t>
      </w:r>
    </w:p>
    <w:p>
      <w:pPr>
        <w:pStyle w:val="StructureList1"/>
        <w:spacing w:before="120" w:after="0"/>
        <w:rPr>
          <w:lang w:val="el" w:eastAsia="el"/>
        </w:rPr>
      </w:pPr>
      <w:r>
        <w:rPr>
          <w:lang w:val="el" w:eastAsia="el"/>
        </w:rPr>
        <w:t>ε)</w:t>
      </w:r>
      <w:r>
        <w:rPr>
          <w:lang w:val="en" w:eastAsia="en"/>
        </w:rPr>
        <w:tab/>
      </w:r>
      <w:r>
        <w:rPr>
          <w:lang w:val="el" w:eastAsia="el"/>
        </w:rPr>
        <w:t>τυπώνονται στην επίσηµη ή τις επίσηµες γλώσσες του κράτους µέλους στο οποίο το προϊόν διατίθεται στο εµπόριο.</w:t>
      </w:r>
    </w:p>
    <w:p>
      <w:pPr>
        <w:pStyle w:val="MainText"/>
        <w:spacing w:before="120" w:after="0"/>
        <w:rPr>
          <w:lang w:val="el" w:eastAsia="el"/>
        </w:rPr>
      </w:pPr>
      <w:r>
        <w:rPr>
          <w:b/>
          <w:bCs/>
          <w:lang w:val="el" w:eastAsia="el"/>
        </w:rPr>
        <w:t>7.</w:t>
      </w:r>
      <w:r>
        <w:rPr>
          <w:lang w:val="el" w:eastAsia="el"/>
        </w:rPr>
        <w:t xml:space="preserve"> Τα κείµενα που ορίζονται στο παρόν άρθρο δεν επιτρέπεται να τυπώνονται επάνω στην ταινία φόρου της µονάδας συσκευασίας. Τα κείµενα αυτά τυπώνονται κατά τρόπον ώστε να µην αποσπώνται και να είναι ανεξίτηλα και δεν πρέπει να κρύβονται, να καλύπτονται ή να διακόπτονται µε κανένα τρόπο από άλλες ενδείξεις ή εικόνες, ούτε από το άνοιγµα του πακέτου. Τα κείµενα για τα προϊόντα καπνού, εκτός των τσιγάρων, µπορούν να προσαρτώνται µε αυτοκόλλητες ετικέτες, αρκεί αυτές να είναι αναπόσπαστες.</w:t>
      </w:r>
    </w:p>
    <w:p>
      <w:pPr>
        <w:pStyle w:val="MainText"/>
        <w:spacing w:before="120" w:after="0"/>
        <w:rPr>
          <w:lang w:val="el" w:eastAsia="el"/>
        </w:rPr>
      </w:pPr>
      <w:r>
        <w:rPr>
          <w:b/>
          <w:bCs/>
          <w:lang w:val="el" w:eastAsia="el"/>
        </w:rPr>
        <w:t>8.</w:t>
      </w:r>
      <w:r>
        <w:rPr>
          <w:lang w:val="el" w:eastAsia="el"/>
        </w:rPr>
        <w:t xml:space="preserve"> Τα κράτη µέλη µπορούν να προβλέπουν ότι οι προειδοποιήσεις που αναφέρονται στις παραγράφους 2 και 3 συνοδεύονται από την ένδειξη, εκτός του πλαισίου που προβλέπεται για τις προειδοποιήσεις, της αρχής που τις συνέταξε.</w:t>
      </w:r>
    </w:p>
    <w:p>
      <w:pPr>
        <w:pStyle w:val="MainText"/>
        <w:spacing w:before="120" w:after="0"/>
        <w:rPr>
          <w:lang w:val="el" w:eastAsia="el"/>
        </w:rPr>
      </w:pPr>
      <w:r>
        <w:rPr>
          <w:b/>
          <w:bCs/>
          <w:lang w:val="el" w:eastAsia="el"/>
        </w:rPr>
        <w:t>9.</w:t>
      </w:r>
      <w:r>
        <w:rPr>
          <w:lang w:val="el" w:eastAsia="el"/>
        </w:rPr>
        <w:t xml:space="preserve"> Για να εξασφαλίζονται η εξακρίβωση και η ανιχνευσιµότητα του προϊόντος, το προϊόν καπνού πρέπει να σηµαίνεται µε κάθε κατάλληλο τρόπο, µε τον αριθµό της παρτίδας ή αντίστοιχο τρόπο, στη µονάδα συσκευασίας ώστε να µπορούν να καθοριστούν ο τόπος και ο χρόνος της παρασκευής.</w:t>
      </w:r>
    </w:p>
    <w:p>
      <w:pPr>
        <w:spacing w:before="240" w:after="240"/>
        <w:rPr>
          <w:lang w:val="el" w:eastAsia="el"/>
        </w:rPr>
      </w:pPr>
      <w:r>
        <w:rPr>
          <w:lang w:val="el" w:eastAsia="el"/>
        </w:rPr>
        <w:t>Τα τεχνικά µέτρα για την εφαρµογή της παρούσας διάταξης, θεσπίζονται σύµφωνα µε τη διαδικασία του άρθρου 10 παράγραφος 2.</w:t>
      </w:r>
    </w:p>
    <w:p>
      <w:pPr>
        <w:pStyle w:val="Heading6"/>
        <w:spacing w:before="240" w:after="240"/>
        <w:rPr>
          <w:lang w:val="el" w:eastAsia="el"/>
        </w:rPr>
      </w:pPr>
      <w:r>
        <w:rPr>
          <w:i/>
          <w:iCs/>
          <w:lang w:val="el" w:eastAsia="el"/>
        </w:rPr>
        <w:t>Άρθρο 6</w:t>
      </w:r>
    </w:p>
    <w:p>
      <w:pPr>
        <w:pStyle w:val="Heading6"/>
        <w:spacing w:before="240" w:after="240"/>
        <w:rPr>
          <w:lang w:val="el" w:eastAsia="el"/>
        </w:rPr>
      </w:pPr>
      <w:r>
        <w:rPr>
          <w:b/>
          <w:bCs/>
          <w:lang w:val="el" w:eastAsia="el"/>
        </w:rPr>
        <w:t>Άλλες πληροφορίες για το προϊόν</w:t>
      </w:r>
    </w:p>
    <w:p>
      <w:pPr>
        <w:pStyle w:val="MainText"/>
        <w:spacing w:before="120" w:after="0"/>
        <w:rPr>
          <w:lang w:val="el" w:eastAsia="el"/>
        </w:rPr>
      </w:pPr>
      <w:r>
        <w:rPr>
          <w:b/>
          <w:bCs/>
          <w:lang w:val="el" w:eastAsia="el"/>
        </w:rPr>
        <w:t>1.</w:t>
      </w:r>
      <w:r>
        <w:rPr>
          <w:lang w:val="el" w:eastAsia="el"/>
        </w:rPr>
        <w:t xml:space="preserve"> Τα κράτη µέλη απαιτούν από όλους τους καπνοβιοµηχάνους και εισαγωγείς προϊόντων καπνού να τους υποβάλουν κατάλογο όλων των συστατικών που χρησιµοποιούνται στην παραγωγή των προϊόντων καπνού τους ανά µάρκα και τύπο, καθώς και των ποσοτήτων των συστατικών αυτών.</w:t>
      </w:r>
    </w:p>
    <w:p>
      <w:pPr>
        <w:spacing w:before="240" w:after="240"/>
        <w:rPr>
          <w:lang w:val="el" w:eastAsia="el"/>
        </w:rPr>
      </w:pPr>
      <w:r>
        <w:rPr>
          <w:lang w:val="el" w:eastAsia="el"/>
        </w:rPr>
        <w:t>Ο κατάλογος συνοδεύεται από δήλωση που εκθέτει τους λόγους για τους οποίους συµπεριλαµβάνονται τα εν λόγω συστατικά στα προϊόντα καπνού. Αναφέρει τη λειτουργία και την κατηγορία τους. Ο κατάλογος συνοδεύεται επίσης από τα τοξικολογικά στοιχεία τα οποία διαθέτει ο κατασκευαστής ή εισαγωγέας όσον αφορά αυτά τα συστατικά πριν και µετά την καύση, όπως ενδείκνυται, αναφέροντας ιδιαίτερα τις επιπτώσεις τους στην υγεία και λαµβάνοντας υπόψη, µεταξύ άλλων, τους κινδύνους εθισµού. Ο κατάλογος καθορίζεται µε φθίνουσα σειρά βάρους κάθε συστατικού που περιλαµβάνει το προϊόν.</w:t>
      </w:r>
    </w:p>
    <w:p>
      <w:pPr>
        <w:spacing w:before="240" w:after="240"/>
        <w:rPr>
          <w:lang w:val="el" w:eastAsia="el"/>
        </w:rPr>
      </w:pPr>
      <w:r>
        <w:rPr>
          <w:lang w:val="el" w:eastAsia="el"/>
        </w:rPr>
        <w:t>Οι πληροφορίες που αναφέρονται στο πρώτο εδάφιο παρέχονται σε ετήσια βάση, και για πρώτη φορά το αργότερο µέχρι τις 31 ∆εκεµβρίου 2002.</w:t>
      </w:r>
    </w:p>
    <w:p>
      <w:pPr>
        <w:pStyle w:val="MainText"/>
        <w:spacing w:before="120" w:after="0"/>
        <w:rPr>
          <w:lang w:val="el" w:eastAsia="el"/>
        </w:rPr>
      </w:pPr>
      <w:r>
        <w:rPr>
          <w:b/>
          <w:bCs/>
          <w:lang w:val="el" w:eastAsia="el"/>
        </w:rPr>
        <w:t>2.</w:t>
      </w:r>
      <w:r>
        <w:rPr>
          <w:lang w:val="el" w:eastAsia="el"/>
        </w:rPr>
        <w:t xml:space="preserve"> Τα κράτη µέλη εξασφαλίζουν τη διάδοση, µε κάθε κατάλληλο µέσο, των πληροφοριών που παρέχονται σύµφωνα µε το παρόν άρθρο, µε σκοπό την ενηµέρωση των καταναλωτών. Ωστόσο, λαµ- βάνεται δεόντως υπόψη, η προστασία των πληροφοριών για συγκε- κριµένο τύπο προϊόντος, οι οποίες αποτελούν εµπορικό απόρρητο.</w:t>
      </w:r>
    </w:p>
    <w:p>
      <w:pPr>
        <w:pStyle w:val="MainText"/>
        <w:spacing w:before="120" w:after="0"/>
        <w:rPr>
          <w:lang w:val="el" w:eastAsia="el"/>
        </w:rPr>
      </w:pPr>
      <w:r>
        <w:rPr>
          <w:b/>
          <w:bCs/>
          <w:lang w:val="el" w:eastAsia="el"/>
        </w:rPr>
        <w:t>3.</w:t>
      </w:r>
      <w:r>
        <w:rPr>
          <w:lang w:val="el" w:eastAsia="el"/>
        </w:rPr>
        <w:t xml:space="preserve"> Τα κράτη µέλη διασφαλίζουν ότι ο κατάλογος των συστατικών για κάθε προϊόν, ο οποίος αναφέρει την πίσσα, τη νικοτίνη και το µονοξείδιο του άνθρακα, δηµοσιοποιείται.</w:t>
      </w:r>
    </w:p>
    <w:p>
      <w:pPr>
        <w:pStyle w:val="MainText"/>
        <w:spacing w:before="120" w:after="0"/>
        <w:rPr>
          <w:lang w:val="el" w:eastAsia="el"/>
        </w:rPr>
      </w:pPr>
      <w:r>
        <w:rPr>
          <w:b/>
          <w:bCs/>
          <w:lang w:val="el" w:eastAsia="el"/>
        </w:rPr>
        <w:t>4.</w:t>
      </w:r>
      <w:r>
        <w:rPr>
          <w:lang w:val="el" w:eastAsia="el"/>
        </w:rPr>
        <w:t xml:space="preserve"> Τα κράτη µέλη διαβιβάζουν κατ’ έτος στην Επιτροπή όλα τα στοιχεία και τις πληροφορίες που υποβάλλονται σύµφωνα µε το παρόν άρθρο, η οποία τα λαµβάνει υπόψη κατά την εκπόνηση της έκθεσης που αναφέρεται στο άρθρο 11.</w:t>
      </w:r>
    </w:p>
    <w:p>
      <w:pPr>
        <w:pStyle w:val="Heading6"/>
        <w:spacing w:before="240" w:after="240"/>
        <w:rPr>
          <w:lang w:val="el" w:eastAsia="el"/>
        </w:rPr>
      </w:pPr>
      <w:r>
        <w:rPr>
          <w:i/>
          <w:iCs/>
          <w:lang w:val="el" w:eastAsia="el"/>
        </w:rPr>
        <w:t>Άρθρο 7</w:t>
      </w:r>
    </w:p>
    <w:p>
      <w:pPr>
        <w:pStyle w:val="Heading6"/>
        <w:spacing w:before="240" w:after="240"/>
        <w:rPr>
          <w:lang w:val="el" w:eastAsia="el"/>
        </w:rPr>
      </w:pPr>
      <w:r>
        <w:rPr>
          <w:b/>
          <w:bCs/>
          <w:lang w:val="el" w:eastAsia="el"/>
        </w:rPr>
        <w:t>Περιγραφή του προϊόντος</w:t>
      </w:r>
    </w:p>
    <w:p>
      <w:pPr>
        <w:spacing w:before="240" w:after="240"/>
        <w:rPr>
          <w:lang w:val="el" w:eastAsia="el"/>
        </w:rPr>
      </w:pPr>
      <w:r>
        <w:rPr>
          <w:lang w:val="el" w:eastAsia="el"/>
        </w:rPr>
        <w:t>Από τις 30 Σεπτεµβρίου 2003 και µε την επιφύλαξη του άρθρου 5 παράγραφος 1, τα κείµενα, ονόµατα, εµπορικά σήµατα και απεικονίσεις ή άλλα σηµεία που υποδεικνύουν ότι ένα συγκεκριµένο προϊόν καπνού είναι λιγότερο επιβλαβές από άλλα, δεν χρησιµο- ποιούνται για τη συσκευασία προϊόντων καπνού.</w:t>
      </w:r>
    </w:p>
    <w:p>
      <w:pPr>
        <w:pStyle w:val="Heading6"/>
        <w:spacing w:before="240" w:after="240"/>
        <w:rPr>
          <w:lang w:val="el" w:eastAsia="el"/>
        </w:rPr>
      </w:pPr>
      <w:r>
        <w:rPr>
          <w:i/>
          <w:iCs/>
          <w:lang w:val="el" w:eastAsia="el"/>
        </w:rPr>
        <w:t>Άρθρο 8</w:t>
      </w:r>
    </w:p>
    <w:p>
      <w:pPr>
        <w:pStyle w:val="Heading6"/>
        <w:spacing w:before="240" w:after="240"/>
        <w:rPr>
          <w:lang w:val="el" w:eastAsia="el"/>
        </w:rPr>
      </w:pPr>
      <w:r>
        <w:rPr>
          <w:b/>
          <w:bCs/>
          <w:lang w:val="el" w:eastAsia="el"/>
        </w:rPr>
        <w:t>Καπνός που λαµβάνεται από το στόµα</w:t>
      </w:r>
    </w:p>
    <w:p>
      <w:pPr>
        <w:spacing w:before="240" w:after="240"/>
        <w:rPr>
          <w:lang w:val="el" w:eastAsia="el"/>
        </w:rPr>
      </w:pPr>
      <w:r>
        <w:rPr>
          <w:lang w:val="el" w:eastAsia="el"/>
        </w:rPr>
        <w:t>Τα κράτη µέλη απαγορεύουν την κυκλοφορία στην αγορά του καπνού που λαµβάνεται από το στόµα, µε την επιφύλαξη του άρθρου 151 της πράξης προσχώρησης της Αυστρίας, της Φινλανδίας και της Σουηδίας.</w:t>
      </w:r>
    </w:p>
    <w:p>
      <w:pPr>
        <w:pStyle w:val="Heading6"/>
        <w:spacing w:before="240" w:after="240"/>
        <w:rPr>
          <w:lang w:val="el" w:eastAsia="el"/>
        </w:rPr>
      </w:pPr>
      <w:r>
        <w:rPr>
          <w:i/>
          <w:iCs/>
          <w:lang w:val="el" w:eastAsia="el"/>
        </w:rPr>
        <w:t>Άρθρο 9</w:t>
      </w:r>
    </w:p>
    <w:p>
      <w:pPr>
        <w:pStyle w:val="Heading6"/>
        <w:spacing w:before="240" w:after="240"/>
        <w:rPr>
          <w:lang w:val="el" w:eastAsia="el"/>
        </w:rPr>
      </w:pPr>
      <w:r>
        <w:rPr>
          <w:b/>
          <w:bCs/>
          <w:lang w:val="el" w:eastAsia="el"/>
        </w:rPr>
        <w:t>Μέτρα προσαρµογής</w:t>
      </w:r>
    </w:p>
    <w:p>
      <w:pPr>
        <w:spacing w:before="240" w:after="240"/>
        <w:rPr>
          <w:lang w:val="el" w:eastAsia="el"/>
        </w:rPr>
      </w:pPr>
      <w:r>
        <w:rPr>
          <w:lang w:val="el" w:eastAsia="el"/>
        </w:rPr>
        <w:t>Η Επιτροπή, σύµφωνα µε τη διαδικασία που προβλέπεται στο άρθρο 10 παράγραφος 2, προσαρµόζει στην επιστηµονική και τεχνική πρόοδο:</w:t>
      </w:r>
    </w:p>
    <w:p>
      <w:pPr>
        <w:pStyle w:val="StructureList1"/>
        <w:spacing w:before="120" w:after="0"/>
        <w:rPr>
          <w:lang w:val="el" w:eastAsia="el"/>
        </w:rPr>
      </w:pPr>
      <w:r>
        <w:rPr>
          <w:lang w:val="el" w:eastAsia="el"/>
        </w:rPr>
        <w:t>α)</w:t>
      </w:r>
      <w:r>
        <w:rPr>
          <w:lang w:val="en" w:eastAsia="en"/>
        </w:rPr>
        <w:tab/>
      </w:r>
      <w:r>
        <w:rPr>
          <w:lang w:val="el" w:eastAsia="el"/>
        </w:rPr>
        <w:t>τις µεθόδους µέτρησης που προβλέπονται στο άρθρο 4 και τους σχετικούς ορισµούς·</w:t>
      </w:r>
    </w:p>
    <w:p>
      <w:pPr>
        <w:pStyle w:val="StructureList1"/>
        <w:spacing w:before="120" w:after="0"/>
        <w:rPr>
          <w:lang w:val="el" w:eastAsia="el"/>
        </w:rPr>
      </w:pPr>
      <w:r>
        <w:rPr>
          <w:lang w:val="el" w:eastAsia="el"/>
        </w:rPr>
        <w:t>β)</w:t>
      </w:r>
      <w:r>
        <w:rPr>
          <w:lang w:val="en" w:eastAsia="en"/>
        </w:rPr>
        <w:tab/>
      </w:r>
      <w:r>
        <w:rPr>
          <w:lang w:val="el" w:eastAsia="el"/>
        </w:rPr>
        <w:t>τις προειδοποιήσεις σχετικά µε την υγεία οι οποίες πρέπει να αναγράφονται στις µονάδες συσκευασίας των προϊόντων καπνού και περιλαµβάνονται στο παράρτηµα Ι, καθώς και τη συχνότητα εναλλαγής τους·</w:t>
      </w:r>
    </w:p>
    <w:p>
      <w:pPr>
        <w:pStyle w:val="StructureList1"/>
        <w:spacing w:before="120" w:after="0"/>
        <w:rPr>
          <w:lang w:val="el" w:eastAsia="el"/>
        </w:rPr>
      </w:pPr>
      <w:r>
        <w:rPr>
          <w:lang w:val="el" w:eastAsia="el"/>
        </w:rPr>
        <w:t>γ)</w:t>
      </w:r>
      <w:r>
        <w:rPr>
          <w:lang w:val="en" w:eastAsia="en"/>
        </w:rPr>
        <w:tab/>
      </w:r>
      <w:r>
        <w:rPr>
          <w:lang w:val="el" w:eastAsia="el"/>
        </w:rPr>
        <w:t>τη σήµανση για τους σκοπούς εξακρίβωσης και ανίχνευσης προϊόντων καπνού.</w:t>
      </w:r>
    </w:p>
    <w:p>
      <w:pPr>
        <w:pStyle w:val="Heading6"/>
        <w:spacing w:before="240" w:after="240"/>
        <w:rPr>
          <w:lang w:val="el" w:eastAsia="el"/>
        </w:rPr>
      </w:pPr>
      <w:r>
        <w:rPr>
          <w:i/>
          <w:iCs/>
          <w:lang w:val="el" w:eastAsia="el"/>
        </w:rPr>
        <w:t>Άρθρο 10</w:t>
      </w:r>
    </w:p>
    <w:p>
      <w:pPr>
        <w:pStyle w:val="Heading6"/>
        <w:spacing w:before="240" w:after="240"/>
        <w:rPr>
          <w:lang w:val="el" w:eastAsia="el"/>
        </w:rPr>
      </w:pPr>
      <w:r>
        <w:rPr>
          <w:b/>
          <w:bCs/>
          <w:lang w:val="el" w:eastAsia="el"/>
        </w:rPr>
        <w:t>∆ιαδικασία της κανονιστικής επιτροπής</w:t>
      </w:r>
    </w:p>
    <w:p>
      <w:pPr>
        <w:pStyle w:val="MainText"/>
        <w:spacing w:before="120" w:after="0"/>
        <w:rPr>
          <w:lang w:val="el" w:eastAsia="el"/>
        </w:rPr>
      </w:pPr>
      <w:r>
        <w:rPr>
          <w:b/>
          <w:bCs/>
          <w:lang w:val="el" w:eastAsia="el"/>
        </w:rPr>
        <w:t>1.</w:t>
      </w:r>
      <w:r>
        <w:rPr>
          <w:lang w:val="el" w:eastAsia="el"/>
        </w:rPr>
        <w:t xml:space="preserve"> Η Επιτροπή επικουρείται από επιτροπή.</w:t>
      </w:r>
    </w:p>
    <w:p>
      <w:pPr>
        <w:pStyle w:val="MainText"/>
        <w:spacing w:before="120" w:after="0"/>
        <w:rPr>
          <w:lang w:val="el" w:eastAsia="el"/>
        </w:rPr>
      </w:pPr>
      <w:r>
        <w:rPr>
          <w:b/>
          <w:bCs/>
          <w:lang w:val="el" w:eastAsia="el"/>
        </w:rPr>
        <w:t>2.</w:t>
      </w:r>
      <w:r>
        <w:rPr>
          <w:lang w:val="el" w:eastAsia="el"/>
        </w:rPr>
        <w:t xml:space="preserve"> Στις περιπτώσεις που γίνεται µνεία της παρούσας παραγράφου, εφαρµόζονται τα άρθρα 5 και 7 της απόφασης 1999/468/ΕΚ, τηρουµένων των διατάξεων του άρθρου 8 αυτής.</w:t>
      </w:r>
    </w:p>
    <w:p>
      <w:pPr>
        <w:spacing w:before="240" w:after="240"/>
        <w:rPr>
          <w:lang w:val="el" w:eastAsia="el"/>
        </w:rPr>
      </w:pPr>
      <w:r>
        <w:rPr>
          <w:lang w:val="el" w:eastAsia="el"/>
        </w:rPr>
        <w:t>Η περίοδος που προβλέπεται στο άρθρο 5 παράγραφος 6 της απόφασης 1999/468/ΕΚ ορίζεται σε τρεις µήνες.</w:t>
      </w:r>
    </w:p>
    <w:p>
      <w:pPr>
        <w:pStyle w:val="MainText"/>
        <w:spacing w:before="120" w:after="0"/>
        <w:rPr>
          <w:lang w:val="el" w:eastAsia="el"/>
        </w:rPr>
      </w:pPr>
      <w:r>
        <w:rPr>
          <w:b/>
          <w:bCs/>
          <w:lang w:val="el" w:eastAsia="el"/>
        </w:rPr>
        <w:t>3.</w:t>
      </w:r>
      <w:r>
        <w:rPr>
          <w:lang w:val="el" w:eastAsia="el"/>
        </w:rPr>
        <w:t xml:space="preserve"> Η επιτροπή θεσπίζει τον εσωτερικό κανονισµό της.</w:t>
      </w:r>
    </w:p>
    <w:p>
      <w:pPr>
        <w:pStyle w:val="Heading6"/>
        <w:spacing w:before="240" w:after="240"/>
        <w:rPr>
          <w:lang w:val="el" w:eastAsia="el"/>
        </w:rPr>
      </w:pPr>
      <w:r>
        <w:rPr>
          <w:i/>
          <w:iCs/>
          <w:lang w:val="el" w:eastAsia="el"/>
        </w:rPr>
        <w:t>Άρθρο 11</w:t>
      </w:r>
    </w:p>
    <w:p>
      <w:pPr>
        <w:pStyle w:val="Heading6"/>
        <w:spacing w:before="240" w:after="240"/>
        <w:rPr>
          <w:lang w:val="el" w:eastAsia="el"/>
        </w:rPr>
      </w:pPr>
      <w:r>
        <w:rPr>
          <w:b/>
          <w:bCs/>
          <w:lang w:val="el" w:eastAsia="el"/>
        </w:rPr>
        <w:t>Έκθεση</w:t>
      </w:r>
    </w:p>
    <w:p>
      <w:pPr>
        <w:spacing w:before="240" w:after="240"/>
        <w:rPr>
          <w:lang w:val="el" w:eastAsia="el"/>
        </w:rPr>
      </w:pPr>
      <w:r>
        <w:rPr>
          <w:lang w:val="el" w:eastAsia="el"/>
        </w:rPr>
        <w:t>Το αργότερο έως τις 31 ∆εκεµβρίου 2004 και στη συνέχεια ανά διετία, η Επιτροπή υποβάλλει στο Ευρωπαϊκό Κοινοβούλιο, το Συµβούλιο και την Οικονοµική και Κοινωνική Επιτροπή έκθεση σχετικά µε την εφαρµογή της παρούσας οδηγίας.</w:t>
      </w:r>
    </w:p>
    <w:p>
      <w:pPr>
        <w:spacing w:before="240" w:after="240"/>
        <w:rPr>
          <w:lang w:val="el" w:eastAsia="el"/>
        </w:rPr>
      </w:pPr>
      <w:r>
        <w:rPr>
          <w:lang w:val="el" w:eastAsia="el"/>
        </w:rPr>
        <w:t>Για την κατάρτιση της έκθεσης που αναφέρεται στο πρώτο εδάφιο, η Επιτροπή επικουρείται από επιστηµονικούς και τεχνικούς εµπει- ρογνώµονες προκειµένου να διαθέτει όλες τις αναγκαίες πληροφορίες.</w:t>
      </w:r>
    </w:p>
    <w:p>
      <w:pPr>
        <w:spacing w:before="240" w:after="240"/>
        <w:rPr>
          <w:lang w:val="el" w:eastAsia="el"/>
        </w:rPr>
      </w:pPr>
      <w:r>
        <w:rPr>
          <w:lang w:val="el" w:eastAsia="el"/>
        </w:rPr>
        <w:t>Κατά την υποβολή της πρώτης έκθεσης, η Επιτροπή υποδεικνύει, ιδίως, τα στοιχεία τα οποία θα πρέπει να επανεξεταστούν ή να αναπτυχθούν περαιτέρω, λαµβανοµένων υπόψη των εξελίξεων όσον αφορά τις επιστηµονικές και τεχνικές γνώσεις, µεταξύ άλλων της αναπτύξεως διεθνώς συµφωνηµένων κανόνων και προτύπων σχετικά µε τα προϊόντα, δίνοντας ιδιαίτερη προσοχή:</w:t>
      </w:r>
    </w:p>
    <w:p>
      <w:pPr>
        <w:spacing w:before="240" w:after="240"/>
        <w:rPr>
          <w:lang w:val="el" w:eastAsia="el"/>
        </w:rPr>
      </w:pPr>
      <w:r>
        <w:rPr>
          <w:lang w:val="el" w:eastAsia="el"/>
        </w:rPr>
        <w:t>— σε µια µεταγενέστερη µείωση των µέγιστων περιεκτικοτήτων που προβλέπονται στο άρθρο 3 παράγραφος 1,</w:t>
      </w:r>
    </w:p>
    <w:p>
      <w:pPr>
        <w:spacing w:before="240" w:after="240"/>
        <w:rPr>
          <w:lang w:val="el" w:eastAsia="el"/>
        </w:rPr>
      </w:pPr>
      <w:r>
        <w:rPr>
          <w:lang w:val="el" w:eastAsia="el"/>
        </w:rPr>
        <w:t>— στην ενδεχόµενη σχέση µεταξύ αυτών των περιεκτικοτήτων,</w:t>
      </w:r>
    </w:p>
    <w:p>
      <w:pPr>
        <w:spacing w:before="240" w:after="240"/>
        <w:rPr>
          <w:lang w:val="el" w:eastAsia="el"/>
        </w:rPr>
      </w:pPr>
      <w:r>
        <w:rPr>
          <w:lang w:val="el" w:eastAsia="el"/>
        </w:rPr>
        <w:t>— στις βελτιώσεις των προειδοποιήσεων για την υγεία, σε ό,τι αφορά το µέγεθος της επιφάνειας που καλύπτουν, τη θέση που κατέχουν και τον τρόπο διατύπωσής τους,</w:t>
      </w:r>
    </w:p>
    <w:p>
      <w:pPr>
        <w:spacing w:before="240" w:after="240"/>
        <w:rPr>
          <w:lang w:val="el" w:eastAsia="el"/>
        </w:rPr>
      </w:pPr>
      <w:r>
        <w:rPr>
          <w:lang w:val="el" w:eastAsia="el"/>
        </w:rPr>
        <w:t>— σε νέες επιστηµονικές και τεχνικές πληροφορίες σχετικά µε την επισήµανση και την εκτύπωση επάνω στα πακέτα των τσιγάρων, φωτογραφιών ή άλλων εικονογραφήσεων που απεικονίζουν και εξηγούν τις συνέπειες του καπνίσµατος για την υγεία,</w:t>
      </w:r>
    </w:p>
    <w:p>
      <w:pPr>
        <w:spacing w:before="240" w:after="240"/>
        <w:rPr>
          <w:lang w:val="el" w:eastAsia="el"/>
        </w:rPr>
      </w:pPr>
      <w:r>
        <w:rPr>
          <w:lang w:val="el" w:eastAsia="el"/>
        </w:rPr>
        <w:t>— στις µεθόδους για µια πιο ρεαλιστική αξιολόγηση και ρύθµιση της έκθεσης σε τοξικές ουσίες και της βλάβης της υγείας,</w:t>
      </w:r>
    </w:p>
    <w:p>
      <w:pPr>
        <w:spacing w:before="240" w:after="240"/>
        <w:rPr>
          <w:lang w:val="el" w:eastAsia="el"/>
        </w:rPr>
      </w:pPr>
      <w:r>
        <w:rPr>
          <w:lang w:val="el" w:eastAsia="el"/>
        </w:rPr>
        <w:t>— στην αξιολόγηση των συµπτωµάτων εθισµού των συστατικών που προκαλούν τον εθισµό,</w:t>
      </w:r>
    </w:p>
    <w:p>
      <w:pPr>
        <w:spacing w:before="240" w:after="240"/>
        <w:rPr>
          <w:lang w:val="el" w:eastAsia="el"/>
        </w:rPr>
      </w:pPr>
      <w:r>
        <w:rPr>
          <w:lang w:val="el" w:eastAsia="el"/>
        </w:rPr>
        <w:t>— στην αξιολόγηση των προϊόντων καπνού που ενδεχοµένως προξενούν µικρότερη βλάβη στην υγεία,</w:t>
      </w:r>
    </w:p>
    <w:p>
      <w:pPr>
        <w:spacing w:before="240" w:after="240"/>
        <w:rPr>
          <w:lang w:val="el" w:eastAsia="el"/>
        </w:rPr>
      </w:pPr>
      <w:r>
        <w:rPr>
          <w:lang w:val="el" w:eastAsia="el"/>
        </w:rPr>
        <w:t>— στην ανάπτυξη τυποποιηµένων µεθόδων δοκιµής για τη µέτρηση των επιπέδων περιεκτικότητας των συστατικών στον καπνό των τσιγάρων, µε εξαίρεση την πίσσα, τη νικοτίνη και το µονοξείδιο του άνθρακα,</w:t>
      </w:r>
    </w:p>
    <w:p>
      <w:pPr>
        <w:spacing w:before="240" w:after="240"/>
        <w:rPr>
          <w:lang w:val="el" w:eastAsia="el"/>
        </w:rPr>
      </w:pPr>
      <w:r>
        <w:rPr>
          <w:lang w:val="el" w:eastAsia="el"/>
        </w:rPr>
        <w:t>— στα τοξικολογικά δεδοµένα που πρέπει να ζητούνται από τους παραγωγούς όσον αφορά τα συστατικά αυτά, καθώς και τον τρόπο µε τον οποίο θα πρέπει να µετρούνται, προκειµένου οι κρατικές υγειονοµικές υπηρεσίες να αξιολογούν τη χρήση τους,</w:t>
      </w:r>
    </w:p>
    <w:p>
      <w:pPr>
        <w:spacing w:before="240" w:after="240"/>
        <w:rPr>
          <w:lang w:val="el" w:eastAsia="el"/>
        </w:rPr>
      </w:pPr>
      <w:r>
        <w:rPr>
          <w:lang w:val="el" w:eastAsia="el"/>
        </w:rPr>
        <w:t>— στη θέσπιση προδιαγραφών σχετικά µε τα άλλα προϊόντα εκτός των τσιγάρων, ιδίως τον καπνό για στρίψιµο.</w:t>
      </w:r>
    </w:p>
    <w:p>
      <w:pPr>
        <w:spacing w:before="240" w:after="240"/>
        <w:rPr>
          <w:lang w:val="el" w:eastAsia="el"/>
        </w:rPr>
      </w:pPr>
      <w:r>
        <w:rPr>
          <w:lang w:val="el" w:eastAsia="el"/>
        </w:rPr>
        <w:t>Στην έκθεση εξετάζεται επίσης η σχέση µεταξύ των απαιτήσεων σήµανσης που προβλέπονται στο άρθρο 5 και της συµπεριφοράς των καταναλωτών. Η εν λόγω έκθεση συνοδεύεται από προτάσεις τροποποίησης της παρούσας οδηγίας που κρίνει αναγκαίες η Επιτροπή για την προσαρµογή της στις εξελίξεις του τοµέα των προϊόντων καπνού, στο βαθµό που είναι απαραίτητο για την καθιέρωση και τη λειτουργία της εσωτερικής αγοράς, λαµβάνοντας υπόψη τις τυχόν νέες εξελίξεις που βασίζονται σε επιστηµονικά στοιχεία και στην εξέλιξη των προδιαγραφών προϊόντος που έχουν συµφωνηθεί διεθνώς.</w:t>
      </w:r>
    </w:p>
    <w:p>
      <w:pPr>
        <w:pStyle w:val="Heading6"/>
        <w:spacing w:before="240" w:after="240"/>
        <w:rPr>
          <w:lang w:val="el" w:eastAsia="el"/>
        </w:rPr>
      </w:pPr>
      <w:r>
        <w:rPr>
          <w:i/>
          <w:iCs/>
          <w:lang w:val="el" w:eastAsia="el"/>
        </w:rPr>
        <w:t>Άρθρο 12</w:t>
      </w:r>
    </w:p>
    <w:p>
      <w:pPr>
        <w:pStyle w:val="Heading6"/>
        <w:spacing w:before="240" w:after="240"/>
        <w:rPr>
          <w:lang w:val="el" w:eastAsia="el"/>
        </w:rPr>
      </w:pPr>
      <w:r>
        <w:rPr>
          <w:b/>
          <w:bCs/>
          <w:lang w:val="el" w:eastAsia="el"/>
        </w:rPr>
        <w:t>Κοινός κατάλογος συστατικών</w:t>
      </w:r>
    </w:p>
    <w:p>
      <w:pPr>
        <w:spacing w:before="240" w:after="240"/>
        <w:rPr>
          <w:lang w:val="el" w:eastAsia="el"/>
        </w:rPr>
      </w:pPr>
      <w:r>
        <w:rPr>
          <w:lang w:val="el" w:eastAsia="el"/>
        </w:rPr>
        <w:t>Στο πλαίσιο της πρώτης έκθεσης που αναφέρεται στο άρθρο 11, το αργότερο µέχρι τις 31 ∆εκεµβρίου 2004, και ενόψει της οµαλής λειτουργίας της εσωτερικής αγοράς, η Επιτροπή καλείται να υποβάλει, µε βάση τις παρεχόµενες δυνάµει του άρθρου 6 πληροφορίες, πρόταση για κοινό κατάλογο συστατικών που επιτρέπονται στα προϊόντα καπνού, λαµβάνοντας υπόψη, µεταξύ άλλων, τον κίνδυνο εθισµού που συνεπάγονται.</w:t>
      </w:r>
    </w:p>
    <w:p>
      <w:pPr>
        <w:pStyle w:val="Heading6"/>
        <w:spacing w:before="240" w:after="240"/>
        <w:rPr>
          <w:lang w:val="el" w:eastAsia="el"/>
        </w:rPr>
      </w:pPr>
      <w:r>
        <w:rPr>
          <w:i/>
          <w:iCs/>
          <w:lang w:val="el" w:eastAsia="el"/>
        </w:rPr>
        <w:t>Άρθρο 13</w:t>
      </w:r>
    </w:p>
    <w:p>
      <w:pPr>
        <w:pStyle w:val="Heading6"/>
        <w:spacing w:before="240" w:after="240"/>
        <w:rPr>
          <w:lang w:val="el" w:eastAsia="el"/>
        </w:rPr>
      </w:pPr>
      <w:r>
        <w:rPr>
          <w:b/>
          <w:bCs/>
          <w:lang w:val="el" w:eastAsia="el"/>
        </w:rPr>
        <w:t>Εισαγωγή, πώληση και κατανάλωση προϊόντων καπνού</w:t>
      </w:r>
    </w:p>
    <w:p>
      <w:pPr>
        <w:pStyle w:val="MainText"/>
        <w:spacing w:before="120" w:after="0"/>
        <w:rPr>
          <w:lang w:val="el" w:eastAsia="el"/>
        </w:rPr>
      </w:pPr>
      <w:r>
        <w:rPr>
          <w:b/>
          <w:bCs/>
          <w:lang w:val="el" w:eastAsia="el"/>
        </w:rPr>
        <w:t>1.</w:t>
      </w:r>
      <w:r>
        <w:rPr>
          <w:lang w:val="el" w:eastAsia="el"/>
        </w:rPr>
        <w:t xml:space="preserve"> Τα κράτη µέλη δεν µπορούν, για λόγους σχετικούς µε τον περιορισµό της περιεκτικότητας των τσιγάρων σε πίσσα, σε νικοτίνη ή σε µονοξείδιο του άνθρακα, µε τις προειδοποιήσεις που αφορούν την υγεία και άλλες ενδείξεις ή µε άλλες απαιτήσεις της παρούσας οδηγίας, να απαγορεύουν ή να περιορίζουν την εισαγωγή, την πώληση ή την κατανάλωση προϊόντων καπνού τα οποία είναι σύµφωνα µε την παρούσα οδηγία, µε εξαίρεση τα ληφθέντα µέτρα µε σκοπό την επαλήθευση των στοιχείων που προβλέπονται από το άρθρο 4.</w:t>
      </w:r>
    </w:p>
    <w:p>
      <w:pPr>
        <w:pStyle w:val="MainText"/>
        <w:spacing w:before="120" w:after="0"/>
        <w:rPr>
          <w:lang w:val="el" w:eastAsia="el"/>
        </w:rPr>
      </w:pPr>
      <w:r>
        <w:rPr>
          <w:b/>
          <w:bCs/>
          <w:lang w:val="el" w:eastAsia="el"/>
        </w:rPr>
        <w:t>2.</w:t>
      </w:r>
      <w:r>
        <w:rPr>
          <w:lang w:val="el" w:eastAsia="el"/>
        </w:rPr>
        <w:t xml:space="preserve"> Η παρούσα οδηγία δεν θίγει το δικαίωµα των κρατών µελών να διατηρούν ή να θεσπίζουν, σύµφωνα µε τη συνθήκη, περισσότερο αυστηρούς κανόνες σχετικά µε την παραγωγή, την εισαγωγή, την πώληση και την κατανάλωση προϊόντων καπνού τους οποίους κρίνουν αναγκαίους για την προστασία της δηµόσιας υγείας, εφόσον οι κανόνες αυτοί δεν θίγουν τους κανόνες που θεσπίζει η παρούσα οδηγία.</w:t>
      </w:r>
    </w:p>
    <w:p>
      <w:pPr>
        <w:pStyle w:val="MainText"/>
        <w:spacing w:before="120" w:after="0"/>
        <w:rPr>
          <w:lang w:val="el" w:eastAsia="el"/>
        </w:rPr>
      </w:pPr>
      <w:r>
        <w:rPr>
          <w:b/>
          <w:bCs/>
          <w:lang w:val="el" w:eastAsia="el"/>
        </w:rPr>
        <w:t>3.</w:t>
      </w:r>
      <w:r>
        <w:rPr>
          <w:lang w:val="el" w:eastAsia="el"/>
        </w:rPr>
        <w:t xml:space="preserve"> Ειδικότερα, τα κράτη µέλη δύνανται να προβλέπουν την απαγόρευση, όσο εκκρεµεί η σύνταξη του κοινού καταλόγου συστατικών που αναφέρεται στο άρθρο 12, της χρήσης συστατικών που συντελούν στην αύξηση των ιδιοτήτων εθισµού των προϊόντων καπνού.</w:t>
      </w:r>
    </w:p>
    <w:p>
      <w:pPr>
        <w:pStyle w:val="Heading6"/>
        <w:spacing w:before="240" w:after="240"/>
        <w:rPr>
          <w:lang w:val="el" w:eastAsia="el"/>
        </w:rPr>
      </w:pPr>
      <w:r>
        <w:rPr>
          <w:i/>
          <w:iCs/>
          <w:lang w:val="el" w:eastAsia="el"/>
        </w:rPr>
        <w:t>Άρθρο 14</w:t>
      </w:r>
    </w:p>
    <w:p>
      <w:pPr>
        <w:pStyle w:val="Heading6"/>
        <w:spacing w:before="240" w:after="240"/>
        <w:rPr>
          <w:lang w:val="el" w:eastAsia="el"/>
        </w:rPr>
      </w:pPr>
      <w:r>
        <w:rPr>
          <w:b/>
          <w:bCs/>
          <w:lang w:val="el" w:eastAsia="el"/>
        </w:rPr>
        <w:t>Εφαρµογή</w:t>
      </w:r>
    </w:p>
    <w:p>
      <w:pPr>
        <w:pStyle w:val="MainText"/>
        <w:spacing w:before="120" w:after="0"/>
        <w:rPr>
          <w:lang w:val="el" w:eastAsia="el"/>
        </w:rPr>
      </w:pPr>
      <w:r>
        <w:rPr>
          <w:b/>
          <w:bCs/>
          <w:lang w:val="el" w:eastAsia="el"/>
        </w:rPr>
        <w:t>1.</w:t>
      </w:r>
      <w:r>
        <w:rPr>
          <w:lang w:val="el" w:eastAsia="el"/>
        </w:rPr>
        <w:t xml:space="preserve"> Με την επιφύλαξη του άρθρου 15 πρώτο εδάφιο, τα κράτη µέλη θέτουν σε ισχύ τις αναγκαίες νοµοθετικές, κανονιστικές και διοικητικές διατάξεις για να συµµορφωθούν µε την παρούσα οδηγία το αργότερο έως τις 30 Σεπτεµβρίου 2002. Ενηµερώνουν αµέσως την Επιτροπή σχετικά.</w:t>
      </w:r>
    </w:p>
    <w:p>
      <w:pPr>
        <w:spacing w:before="240" w:after="240"/>
        <w:rPr>
          <w:lang w:val="el" w:eastAsia="el"/>
        </w:rPr>
      </w:pPr>
      <w:r>
        <w:rPr>
          <w:lang w:val="el" w:eastAsia="el"/>
        </w:rPr>
        <w:t>Οι διατάξεις αυτές, όταν θεσπίζονται από τα κράτη µέλη, αναφέρονται στην παρούσα οδηγία ή συνοδεύονται από την αναφορά αυτή κατά την επίσηµη δηµοσίευσή τους. Οι λεπτοµέρειες της αναφοράς αυτής καθορίζονται από τα κράτη µέλη.</w:t>
      </w:r>
    </w:p>
    <w:p>
      <w:pPr>
        <w:pStyle w:val="MainText"/>
        <w:spacing w:before="120" w:after="0"/>
        <w:rPr>
          <w:lang w:val="el" w:eastAsia="el"/>
        </w:rPr>
      </w:pPr>
      <w:r>
        <w:rPr>
          <w:b/>
          <w:bCs/>
          <w:lang w:val="el" w:eastAsia="el"/>
        </w:rPr>
        <w:t>2.</w:t>
      </w:r>
      <w:r>
        <w:rPr>
          <w:lang w:val="el" w:eastAsia="el"/>
        </w:rPr>
        <w:t xml:space="preserve"> Τα προϊόντα που δεν είναι σύµφωνα µε τις διατάξεις της παρούσας οδηγίας µπορούν να εξακολουθήσουν να διατίθενται στο εµπόριο κατά την διάρκεια ενός έτους µετά την ηµεροµηνία που αναφέρεται στην παράγραφο 1.</w:t>
      </w:r>
    </w:p>
    <w:p>
      <w:pPr>
        <w:pStyle w:val="MainText"/>
        <w:spacing w:before="120" w:after="0"/>
        <w:rPr>
          <w:lang w:val="el" w:eastAsia="el"/>
        </w:rPr>
      </w:pPr>
      <w:r>
        <w:rPr>
          <w:b/>
          <w:bCs/>
          <w:lang w:val="el" w:eastAsia="el"/>
        </w:rPr>
        <w:t>3.</w:t>
      </w:r>
      <w:r>
        <w:rPr>
          <w:lang w:val="el" w:eastAsia="el"/>
        </w:rPr>
        <w:t xml:space="preserve"> Κατά παρέκκλιση της παραγράφου 2, τα προϊόντα πλην των τσιγάρων που δεν πληρούν τις διατάξεις της παρούσας οδηγίας µπορούν να συνεχίσουν να διατίθενται σε εµπορία δύο έτη µετά την αναφερόµενη στην παράγραφο 1 ηµεροµηνία.</w:t>
      </w:r>
    </w:p>
    <w:p>
      <w:pPr>
        <w:pStyle w:val="MainText"/>
        <w:spacing w:before="120" w:after="0"/>
        <w:rPr>
          <w:lang w:val="el" w:eastAsia="el"/>
        </w:rPr>
      </w:pPr>
      <w:r>
        <w:rPr>
          <w:b/>
          <w:bCs/>
          <w:lang w:val="el" w:eastAsia="el"/>
        </w:rPr>
        <w:t>4.</w:t>
      </w:r>
      <w:r>
        <w:rPr>
          <w:lang w:val="el" w:eastAsia="el"/>
        </w:rPr>
        <w:t xml:space="preserve"> Τα κράτη µέλη ανακοινώνουν στην Επιτροπή το κείµενο των διατάξεων εσωτερικού δικαίου τις οποίες θεσπίζουν στον τοµέα που διέπεται από την παρούσα οδηγία.</w:t>
      </w:r>
    </w:p>
    <w:p>
      <w:pPr>
        <w:pStyle w:val="Heading6"/>
        <w:spacing w:before="240" w:after="240"/>
        <w:rPr>
          <w:lang w:val="el" w:eastAsia="el"/>
        </w:rPr>
      </w:pPr>
      <w:r>
        <w:rPr>
          <w:i/>
          <w:iCs/>
          <w:lang w:val="el" w:eastAsia="el"/>
        </w:rPr>
        <w:t>Άρθρο 15</w:t>
      </w:r>
    </w:p>
    <w:p>
      <w:pPr>
        <w:pStyle w:val="Heading6"/>
        <w:spacing w:before="240" w:after="240"/>
        <w:rPr>
          <w:lang w:val="el" w:eastAsia="el"/>
        </w:rPr>
      </w:pPr>
      <w:r>
        <w:rPr>
          <w:b/>
          <w:bCs/>
          <w:lang w:val="el" w:eastAsia="el"/>
        </w:rPr>
        <w:t>Κατάργηση</w:t>
      </w:r>
    </w:p>
    <w:p>
      <w:pPr>
        <w:spacing w:before="240" w:after="240"/>
        <w:rPr>
          <w:lang w:val="el" w:eastAsia="el"/>
        </w:rPr>
      </w:pPr>
      <w:r>
        <w:rPr>
          <w:lang w:val="el" w:eastAsia="el"/>
        </w:rPr>
        <w:t>Οι οδηγίες 89/622/ΕΟΚ και 90/239/ΕΟΚ καταργούνται, µε την επιφύλαξη των υποχρεώσεων των κρατών µελών σχετικά µε τις προθεσµίες για την µεταφορά στην εθνική τους νοµοθεσία και την εφαρµογή των οδηγιών που απαριθµούνται στο παράρτηµα ΙΙ.</w:t>
      </w:r>
    </w:p>
    <w:p>
      <w:pPr>
        <w:spacing w:before="240" w:after="240"/>
        <w:rPr>
          <w:lang w:val="el" w:eastAsia="el"/>
        </w:rPr>
      </w:pPr>
      <w:r>
        <w:rPr>
          <w:lang w:val="el" w:eastAsia="el"/>
        </w:rPr>
        <w:t>Οι παραποµπές στις οδηγίες που καταργούνται νοούνται ως παρα- ποµπές στην παρούσα οδηγία σύµφωνα µε τον πίνακα αντιστοιχιών του παραρτήµατος ΙΙΙ.</w:t>
      </w:r>
    </w:p>
    <w:p>
      <w:pPr>
        <w:pStyle w:val="Heading6"/>
        <w:spacing w:before="240" w:after="240"/>
        <w:rPr>
          <w:lang w:val="el" w:eastAsia="el"/>
        </w:rPr>
      </w:pPr>
      <w:r>
        <w:rPr>
          <w:i/>
          <w:iCs/>
          <w:lang w:val="el" w:eastAsia="el"/>
        </w:rPr>
        <w:t>Άρθρο 16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Η παρούσα οδηγία αρχίζει να ισχύει την ηµέρα της δηµοσίευσής της στην </w:t>
      </w:r>
      <w:r>
        <w:rPr>
          <w:i/>
          <w:iCs/>
          <w:lang w:val="el" w:eastAsia="el"/>
        </w:rPr>
        <w:t>Επίσηµη Εφηµερίδα των Ευρωπαϊκών Κοινοτήτων</w:t>
      </w:r>
      <w:r>
        <w:rPr>
          <w:lang w:val="el" w:eastAsia="el"/>
        </w:rPr>
        <w:t>.</w:t>
      </w:r>
    </w:p>
    <w:p>
      <w:pPr>
        <w:pStyle w:val="Heading6"/>
        <w:spacing w:before="240" w:after="240"/>
        <w:rPr>
          <w:lang w:val="el" w:eastAsia="el"/>
        </w:rPr>
      </w:pPr>
      <w:r>
        <w:rPr>
          <w:i/>
          <w:iCs/>
          <w:lang w:val="el" w:eastAsia="el"/>
        </w:rPr>
        <w:t>Άρθρο 17</w:t>
      </w:r>
    </w:p>
    <w:p>
      <w:pPr>
        <w:pStyle w:val="Heading6"/>
        <w:spacing w:before="240" w:after="240"/>
        <w:rPr>
          <w:lang w:val="el" w:eastAsia="el"/>
        </w:rPr>
      </w:pPr>
      <w:r>
        <w:rPr>
          <w:b/>
          <w:bCs/>
          <w:lang w:val="el" w:eastAsia="el"/>
        </w:rPr>
        <w:t>Παραλήπτες</w:t>
      </w:r>
    </w:p>
    <w:p>
      <w:pPr>
        <w:spacing w:before="240" w:after="240"/>
        <w:rPr>
          <w:lang w:val="el" w:eastAsia="el"/>
        </w:rPr>
      </w:pPr>
      <w:r>
        <w:rPr>
          <w:lang w:val="el" w:eastAsia="el"/>
        </w:rPr>
        <w:t>Η παρούσα οδηγία απευθύνεται στα κράτη µέλη.</w:t>
      </w:r>
    </w:p>
    <w:p>
      <w:pPr>
        <w:spacing w:before="240" w:after="240"/>
        <w:rPr>
          <w:lang w:val="el" w:eastAsia="el"/>
        </w:rPr>
      </w:pPr>
      <w:r>
        <w:rPr>
          <w:lang w:val="el" w:eastAsia="el"/>
        </w:rPr>
        <w:t>Λουξεµβούργο, 5 Ιουνίου 2001.</w:t>
      </w:r>
    </w:p>
    <w:p>
      <w:pPr>
        <w:spacing w:before="240" w:after="240"/>
        <w:rPr>
          <w:lang w:val="el" w:eastAsia="el"/>
        </w:rPr>
      </w:pPr>
      <w:r>
        <w:rPr>
          <w:i/>
          <w:iCs/>
          <w:lang w:val="el" w:eastAsia="el"/>
        </w:rPr>
        <w:t>Για το Ευρωπαϊκό Κοινοβούλιο Για το Συµβούλιο</w:t>
      </w:r>
    </w:p>
    <w:p>
      <w:pPr>
        <w:spacing w:before="240" w:after="240"/>
        <w:rPr>
          <w:lang w:val="el" w:eastAsia="el"/>
        </w:rPr>
      </w:pPr>
      <w:r>
        <w:rPr>
          <w:i/>
          <w:iCs/>
          <w:lang w:val="el" w:eastAsia="el"/>
        </w:rPr>
        <w:t>Η Πρόεδρος Ο Πρόεδρος</w:t>
      </w:r>
    </w:p>
    <w:p>
      <w:pPr>
        <w:spacing w:before="240" w:after="240"/>
        <w:rPr>
          <w:lang w:val="el" w:eastAsia="el"/>
        </w:rPr>
      </w:pPr>
      <w:r>
        <w:rPr>
          <w:lang w:val="el" w:eastAsia="el"/>
        </w:rPr>
        <w:t>N. FONTAINE L. ENGQVIST</w:t>
      </w:r>
    </w:p>
    <w:p>
      <w:pPr>
        <w:spacing w:before="240" w:after="240"/>
        <w:rPr>
          <w:lang w:val="el" w:eastAsia="el"/>
        </w:rPr>
      </w:pPr>
      <w:r>
        <w:rPr>
          <w:i/>
          <w:iCs/>
          <w:lang w:val="el" w:eastAsia="el"/>
        </w:rPr>
        <w:t>ΠΑΡΑΡΤΗΜΑ Ι</w:t>
      </w:r>
    </w:p>
    <w:p>
      <w:pPr>
        <w:spacing w:before="240" w:after="240"/>
        <w:rPr>
          <w:lang w:val="el" w:eastAsia="el"/>
        </w:rPr>
      </w:pPr>
      <w:r>
        <w:rPr>
          <w:b/>
          <w:bCs/>
          <w:lang w:val="el" w:eastAsia="el"/>
        </w:rPr>
        <w:t>Κατάλογος συµπληρωµατικών προειδοποιήσεων</w:t>
      </w:r>
      <w:r>
        <w:rPr>
          <w:lang w:val="el" w:eastAsia="el"/>
        </w:rPr>
        <w:t>[που αναφέρονται στο άρθρο 5 παράγραφος 2 στοιχείο β)]</w:t>
      </w:r>
    </w:p>
    <w:p>
      <w:pPr>
        <w:pStyle w:val="MainText"/>
        <w:spacing w:before="120" w:after="0"/>
        <w:rPr>
          <w:lang w:val="el" w:eastAsia="el"/>
        </w:rPr>
      </w:pPr>
      <w:r>
        <w:rPr>
          <w:b/>
          <w:bCs/>
          <w:lang w:val="el" w:eastAsia="el"/>
        </w:rPr>
        <w:t>1.</w:t>
      </w:r>
      <w:r>
        <w:rPr>
          <w:lang w:val="el" w:eastAsia="el"/>
        </w:rPr>
        <w:t xml:space="preserve"> Οι καπνιστές πεθαίνουν πρόωρα.</w:t>
      </w:r>
    </w:p>
    <w:p>
      <w:pPr>
        <w:pStyle w:val="MainText"/>
        <w:spacing w:before="120" w:after="0"/>
        <w:rPr>
          <w:lang w:val="el" w:eastAsia="el"/>
        </w:rPr>
      </w:pPr>
      <w:r>
        <w:rPr>
          <w:b/>
          <w:bCs/>
          <w:lang w:val="el" w:eastAsia="el"/>
        </w:rPr>
        <w:t>2.</w:t>
      </w:r>
      <w:r>
        <w:rPr>
          <w:lang w:val="el" w:eastAsia="el"/>
        </w:rPr>
        <w:t xml:space="preserve"> Το κάπνισµα αποφράσσει τις αρτηρίες και προκαλεί έµφραγµα και εγκεφαλικά επεισόδια.</w:t>
      </w:r>
    </w:p>
    <w:p>
      <w:pPr>
        <w:pStyle w:val="MainText"/>
        <w:spacing w:before="120" w:after="0"/>
        <w:rPr>
          <w:lang w:val="el" w:eastAsia="el"/>
        </w:rPr>
      </w:pPr>
      <w:r>
        <w:rPr>
          <w:b/>
          <w:bCs/>
          <w:lang w:val="el" w:eastAsia="el"/>
        </w:rPr>
        <w:t>3.</w:t>
      </w:r>
      <w:r>
        <w:rPr>
          <w:lang w:val="el" w:eastAsia="el"/>
        </w:rPr>
        <w:t xml:space="preserve"> Το κάπνισµα προκαλεί θανατηφόρο καρκίνο των πνευµόνων.</w:t>
      </w:r>
    </w:p>
    <w:p>
      <w:pPr>
        <w:pStyle w:val="MainText"/>
        <w:spacing w:before="120" w:after="0"/>
        <w:rPr>
          <w:lang w:val="el" w:eastAsia="el"/>
        </w:rPr>
      </w:pPr>
      <w:r>
        <w:rPr>
          <w:b/>
          <w:bCs/>
          <w:lang w:val="el" w:eastAsia="el"/>
        </w:rPr>
        <w:t>4.</w:t>
      </w:r>
      <w:r>
        <w:rPr>
          <w:lang w:val="el" w:eastAsia="el"/>
        </w:rPr>
        <w:t xml:space="preserve"> Το κάπνισµα κατά τη διάρκεια της εγκυµοσύνης µπορεί να βλάψει την υγεία του παιδιού σας.</w:t>
      </w:r>
    </w:p>
    <w:p>
      <w:pPr>
        <w:pStyle w:val="MainText"/>
        <w:spacing w:before="120" w:after="0"/>
        <w:rPr>
          <w:lang w:val="el" w:eastAsia="el"/>
        </w:rPr>
      </w:pPr>
      <w:r>
        <w:rPr>
          <w:b/>
          <w:bCs/>
          <w:lang w:val="el" w:eastAsia="el"/>
        </w:rPr>
        <w:t>5.</w:t>
      </w:r>
      <w:r>
        <w:rPr>
          <w:lang w:val="el" w:eastAsia="el"/>
        </w:rPr>
        <w:t xml:space="preserve"> Προστατέψτε τα παιδιά: µην τα αναγκάζετε να αναπνέουν τον καπνό σας.</w:t>
      </w:r>
    </w:p>
    <w:p>
      <w:pPr>
        <w:pStyle w:val="MainText"/>
        <w:spacing w:before="120" w:after="0"/>
        <w:rPr>
          <w:lang w:val="el" w:eastAsia="el"/>
        </w:rPr>
      </w:pPr>
      <w:r>
        <w:rPr>
          <w:b/>
          <w:bCs/>
          <w:lang w:val="el" w:eastAsia="el"/>
        </w:rPr>
        <w:t>6.</w:t>
      </w:r>
      <w:r>
        <w:rPr>
          <w:lang w:val="el" w:eastAsia="el"/>
        </w:rPr>
        <w:t xml:space="preserve"> Ο γιατρός σας ή ο φαρµακοποιός σας µπορούν να σας βοηθήσουν να κόψετε το κάπνισµα.</w:t>
      </w:r>
    </w:p>
    <w:p>
      <w:pPr>
        <w:pStyle w:val="MainText"/>
        <w:spacing w:before="120" w:after="0"/>
        <w:rPr>
          <w:lang w:val="el" w:eastAsia="el"/>
        </w:rPr>
      </w:pPr>
      <w:r>
        <w:rPr>
          <w:b/>
          <w:bCs/>
          <w:lang w:val="el" w:eastAsia="el"/>
        </w:rPr>
        <w:t>7.</w:t>
      </w:r>
      <w:r>
        <w:rPr>
          <w:lang w:val="el" w:eastAsia="el"/>
        </w:rPr>
        <w:t xml:space="preserve"> Το κάπνισµα είναι εξαιρετικά εθιστικό, µην το αρχίσετε.</w:t>
      </w:r>
    </w:p>
    <w:p>
      <w:pPr>
        <w:pStyle w:val="MainText"/>
        <w:spacing w:before="120" w:after="0"/>
        <w:rPr>
          <w:lang w:val="el" w:eastAsia="el"/>
        </w:rPr>
      </w:pPr>
      <w:r>
        <w:rPr>
          <w:b/>
          <w:bCs/>
          <w:lang w:val="el" w:eastAsia="el"/>
        </w:rPr>
        <w:t>8.</w:t>
      </w:r>
      <w:r>
        <w:rPr>
          <w:lang w:val="el" w:eastAsia="el"/>
        </w:rPr>
        <w:t xml:space="preserve"> Το σταµάτηµα του καπνίσµατος µειώνει τον κίνδυνο θανατηφόρων καρδιαγγειακών και πνευµονικών παθήσεων.</w:t>
      </w:r>
    </w:p>
    <w:p>
      <w:pPr>
        <w:pStyle w:val="MainText"/>
        <w:spacing w:before="120" w:after="0"/>
        <w:rPr>
          <w:lang w:val="el" w:eastAsia="el"/>
        </w:rPr>
      </w:pPr>
      <w:r>
        <w:rPr>
          <w:b/>
          <w:bCs/>
          <w:lang w:val="el" w:eastAsia="el"/>
        </w:rPr>
        <w:t>9.</w:t>
      </w:r>
      <w:r>
        <w:rPr>
          <w:lang w:val="el" w:eastAsia="el"/>
        </w:rPr>
        <w:t xml:space="preserve"> Το κάπνισµα µπορεί να προκαλέσει αργό και επώδυνο θάνατο.</w:t>
      </w:r>
    </w:p>
    <w:p>
      <w:pPr>
        <w:pStyle w:val="MainText"/>
        <w:spacing w:before="120" w:after="0"/>
        <w:rPr>
          <w:lang w:val="el" w:eastAsia="el"/>
        </w:rPr>
      </w:pPr>
      <w:r>
        <w:rPr>
          <w:b/>
          <w:bCs/>
          <w:lang w:val="el" w:eastAsia="el"/>
        </w:rPr>
        <w:t>10.</w:t>
      </w:r>
      <w:r>
        <w:rPr>
          <w:lang w:val="el" w:eastAsia="el"/>
        </w:rPr>
        <w:t xml:space="preserve"> Ζητείστε βοήθεια για να σταµατήσετε το κάπνισµα: (αριθµός τηλεφώνου/ταχυδροµική διεύθυνση/διεύθυνση ∆ιαδικτύου/συµ- βουλευτείτε το γιατρό/φαρµακοποιό σας).</w:t>
      </w:r>
    </w:p>
    <w:p>
      <w:pPr>
        <w:pStyle w:val="MainText"/>
        <w:spacing w:before="120" w:after="0"/>
        <w:rPr>
          <w:lang w:val="el" w:eastAsia="el"/>
        </w:rPr>
      </w:pPr>
      <w:r>
        <w:rPr>
          <w:b/>
          <w:bCs/>
          <w:lang w:val="el" w:eastAsia="el"/>
        </w:rPr>
        <w:t>11.</w:t>
      </w:r>
      <w:r>
        <w:rPr>
          <w:lang w:val="el" w:eastAsia="el"/>
        </w:rPr>
        <w:t xml:space="preserve"> Το κάπνισµα µπορεί να µειώσει τη ροή του αίµατος και να προκαλέσει ανικανότητα.</w:t>
      </w:r>
    </w:p>
    <w:p>
      <w:pPr>
        <w:pStyle w:val="MainText"/>
        <w:spacing w:before="120" w:after="0"/>
        <w:rPr>
          <w:lang w:val="el" w:eastAsia="el"/>
        </w:rPr>
      </w:pPr>
      <w:r>
        <w:rPr>
          <w:b/>
          <w:bCs/>
          <w:lang w:val="el" w:eastAsia="el"/>
        </w:rPr>
        <w:t>12.</w:t>
      </w:r>
      <w:r>
        <w:rPr>
          <w:lang w:val="el" w:eastAsia="el"/>
        </w:rPr>
        <w:t xml:space="preserve"> Το κάπνισµα προκαλεί γήρανση του δέρµατος.</w:t>
      </w:r>
    </w:p>
    <w:p>
      <w:pPr>
        <w:pStyle w:val="MainText"/>
        <w:spacing w:before="120" w:after="0"/>
        <w:rPr>
          <w:lang w:val="el" w:eastAsia="el"/>
        </w:rPr>
      </w:pPr>
      <w:r>
        <w:rPr>
          <w:b/>
          <w:bCs/>
          <w:lang w:val="el" w:eastAsia="el"/>
        </w:rPr>
        <w:t>13.</w:t>
      </w:r>
      <w:r>
        <w:rPr>
          <w:lang w:val="el" w:eastAsia="el"/>
        </w:rPr>
        <w:t xml:space="preserve"> Το κάπνισµα µπορεί να βλάψει το σπέρµα και µειώνει τη γονιµότητα.</w:t>
      </w:r>
    </w:p>
    <w:p>
      <w:pPr>
        <w:pStyle w:val="MainText"/>
        <w:spacing w:before="120" w:after="0"/>
        <w:rPr>
          <w:lang w:val="el" w:eastAsia="el"/>
        </w:rPr>
      </w:pPr>
      <w:r>
        <w:rPr>
          <w:b/>
          <w:bCs/>
          <w:lang w:val="el" w:eastAsia="el"/>
        </w:rPr>
        <w:t>14.</w:t>
      </w:r>
      <w:r>
        <w:rPr>
          <w:lang w:val="el" w:eastAsia="el"/>
        </w:rPr>
        <w:t xml:space="preserve"> Ο καπνός περιέχει βενζόλιο, νιτροζαµίνες, φορµαλδεΰδη και υδροκυάνιο.</w:t>
      </w:r>
    </w:p>
    <w:p>
      <w:pPr>
        <w:spacing w:before="240" w:after="240"/>
        <w:rPr>
          <w:lang w:val="el" w:eastAsia="el"/>
        </w:rPr>
      </w:pPr>
      <w:r>
        <w:rPr>
          <w:i/>
          <w:iCs/>
          <w:lang w:val="el" w:eastAsia="el"/>
        </w:rPr>
        <w:t>ΠΑΡΑΡΤΗΜΑ II</w:t>
      </w:r>
    </w:p>
    <w:p>
      <w:pPr>
        <w:spacing w:before="240" w:after="240"/>
        <w:rPr>
          <w:lang w:val="el" w:eastAsia="el"/>
        </w:rPr>
      </w:pPr>
      <w:r>
        <w:rPr>
          <w:b/>
          <w:bCs/>
          <w:lang w:val="el" w:eastAsia="el"/>
        </w:rPr>
        <w:t>Προθεσµίες για τη µεταφορά στην εθνική νοµοθεσία και την εφαρµογή των καταργουµένων οδηγιών</w:t>
      </w:r>
      <w:r>
        <w:rPr>
          <w:lang w:val="el" w:eastAsia="el"/>
        </w:rPr>
        <w:t>(που αναφέρονται στο άρθρο 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2651"/>
        <w:gridCol w:w="27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Προθεσµίες για τη µεταφορά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Προθεσµίες για την εφαρµογή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89/622/ΕΟΚ (ΕΕ L 359 της 8.12.1989, σ.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Ιουλίου 1990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∆εκεµβρίου 1991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∆εκεµβρίου 1992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∆εκεµβρίου 1993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90/239/ΕΟΚ (ΕΕ L 137 της 30.5.1990, σ.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Νοεµβρίου 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∆εκεµβρίου 1992 (</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∆εκεµβρίου 1997 (</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∆εκεµβρίου 1992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∆εκεµβρίου 1998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∆εκεµβρίου 2000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∆εκεµβρίου 2006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92/41/ΕΟΚ (ΕΕ L 158 της 11.6.1992, σ.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Ιουλίου 1992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Ιουλίου 1992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Ιανουαρίου 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∆εκεµβρίου 1994</w:t>
            </w:r>
          </w:p>
        </w:tc>
      </w:tr>
    </w:tbl>
    <w:p>
      <w:pPr>
        <w:spacing w:before="240" w:after="240"/>
        <w:rPr>
          <w:lang w:val="el" w:eastAsia="el"/>
        </w:rPr>
      </w:pPr>
      <w:r>
        <w:rPr>
          <w:lang w:val="el" w:eastAsia="el"/>
        </w:rPr>
        <w:t>(</w:t>
      </w:r>
      <w:r>
        <w:rPr>
          <w:sz w:val="30"/>
          <w:szCs w:val="30"/>
          <w:vertAlign w:val="superscript"/>
          <w:lang w:val="el" w:eastAsia="el"/>
        </w:rPr>
        <w:t>1</w:t>
      </w:r>
      <w:r>
        <w:rPr>
          <w:lang w:val="el" w:eastAsia="el"/>
        </w:rPr>
        <w:t>) Για όλα τα κράτη µέλη εκτός από την Ελλάδα.</w:t>
      </w:r>
    </w:p>
    <w:p>
      <w:pPr>
        <w:spacing w:before="240" w:after="240"/>
        <w:rPr>
          <w:lang w:val="el" w:eastAsia="el"/>
        </w:rPr>
      </w:pPr>
      <w:r>
        <w:rPr>
          <w:lang w:val="el" w:eastAsia="el"/>
        </w:rPr>
        <w:t>(</w:t>
      </w:r>
      <w:r>
        <w:rPr>
          <w:sz w:val="30"/>
          <w:szCs w:val="30"/>
          <w:vertAlign w:val="superscript"/>
          <w:lang w:val="el" w:eastAsia="el"/>
        </w:rPr>
        <w:t>2</w:t>
      </w:r>
      <w:r>
        <w:rPr>
          <w:lang w:val="el" w:eastAsia="el"/>
        </w:rPr>
        <w:t>) Η παρέκκλιση ισχύει µόνον για την Ελλάδα.</w:t>
      </w:r>
    </w:p>
    <w:p>
      <w:pPr>
        <w:spacing w:before="240" w:after="240"/>
        <w:rPr>
          <w:lang w:val="el" w:eastAsia="el"/>
        </w:rPr>
      </w:pPr>
      <w:r>
        <w:rPr>
          <w:i/>
          <w:iCs/>
          <w:lang w:val="el" w:eastAsia="el"/>
        </w:rPr>
        <w:t>ΠΑΡΑΡΤΗΜΑ III</w:t>
      </w:r>
    </w:p>
    <w:p>
      <w:pPr>
        <w:spacing w:before="240" w:after="240"/>
        <w:rPr>
          <w:lang w:val="el" w:eastAsia="el"/>
        </w:rPr>
      </w:pPr>
      <w:r>
        <w:rPr>
          <w:b/>
          <w:bCs/>
          <w:lang w:val="el" w:eastAsia="el"/>
        </w:rPr>
        <w:t>ΠΙΝΑΚΑΣ ΑΝΤΙΣΤΟΙΧΙΩΝ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6"/>
        <w:gridCol w:w="4791"/>
        <w:gridCol w:w="18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Παρούσα οδηγία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Οδηγία 89/622/ΕΟΚ, όπως τροποποιήθηκε από την οδηγία 92/41/ΕΟΚ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Οδηγία 90/239/ΕΟΚ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παράγραφοι 1 έως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παράγραφοι 1, 2 και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παράγραφος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παράγραφος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παράγραφος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παράγραφος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παράγραφος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παράγραφος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παράγραφος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παράγραφος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παράγραφος 1 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παράγραφος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3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παράγραφος 1 δεύτερο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παράγραφος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παράγραφοι 2 έως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παράγραφος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παράγραφος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παράγραφος 2 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παράγραφος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παράγραφος 2 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Παράρτηµα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παράγραφος 2 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παράγραφος 2α στοιχείο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παράγραφος 2 δεύτερο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παράγραφος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παράγραφος 4 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παράγραφος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παράγραφος 4 δεύτερο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παράγραφος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παράγραφος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παράγραφος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παράγραφος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παράγραφος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παράγραφος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στοιχείο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παράγραφος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παράγραφος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παράγραφος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παράγραφος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παράγραφος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παράγραφος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παράγραφος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παράγραφος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παράγραφος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παράγραφος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παράγραφος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παράγραφος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παράγραφος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παράγραφος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παράγραφος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Παράρτηµα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Παράρτηµα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Παράρτηµα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Παράρτηµα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