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 xml:space="preserve">Αριθ. Τ </w:t>
      </w:r>
      <w:r>
        <w:rPr>
          <w:i/>
          <w:iCs/>
          <w:u w:val="single"/>
          <w:lang w:val="el" w:eastAsia="el"/>
        </w:rPr>
        <w:t>2622/179/Α0019</w:t>
      </w:r>
    </w:p>
    <w:p>
      <w:pPr>
        <w:pStyle w:val="enacting"/>
        <w:spacing w:before="120" w:after="0"/>
        <w:rPr>
          <w:lang w:val="el" w:eastAsia="el"/>
        </w:rPr>
      </w:pPr>
      <w:r>
        <w:rPr>
          <w:lang w:val="el" w:eastAsia="el"/>
        </w:rPr>
        <w:t>Καταστροφή Εμπορευμάτων - Επιτροπή άρθρου 37,παρ. 1, του Ν. 2960/2001.</w:t>
      </w:r>
      <w:r>
        <w:rPr>
          <w:lang w:val="el" w:eastAsia="el"/>
        </w:rPr>
        <w:br/>
      </w:r>
      <w:r>
        <w:rPr>
          <w:b/>
          <w:bCs/>
          <w:lang w:val="el" w:eastAsia="el"/>
        </w:rPr>
        <w:t>Ο 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παραγράφων 1, 4, &amp; 5, του άρθρου 182 καθώς και την παρ.2, του άρθρου 37, του Καν. (ΕΟΚ) 2913/92 «περί Κοινοτικού Τελωνειακού Κώδικα».</w:t>
      </w:r>
    </w:p>
    <w:p>
      <w:pPr>
        <w:pStyle w:val="PreambelText"/>
        <w:spacing w:before="240" w:after="240"/>
        <w:rPr>
          <w:lang w:val="el" w:eastAsia="el"/>
        </w:rPr>
      </w:pPr>
      <w:r>
        <w:rPr>
          <w:lang w:val="el" w:eastAsia="el"/>
        </w:rPr>
        <w:t>2. Τις διατάξεις των παραγράφων 1 &amp; 2, του άρθρου 842, του Καν. (ΕΟΚ) 2454/93 «περί Διατάξεων Εφαρμογής του Κοινοτικού Τελωνειακού Κώδικα».</w:t>
      </w:r>
    </w:p>
    <w:p>
      <w:pPr>
        <w:pStyle w:val="PreambelText"/>
        <w:spacing w:before="240" w:after="240"/>
        <w:rPr>
          <w:lang w:val="el" w:eastAsia="el"/>
        </w:rPr>
      </w:pPr>
      <w:r>
        <w:rPr>
          <w:lang w:val="el" w:eastAsia="el"/>
        </w:rPr>
        <w:t>3. Τις διατάξεις της περίπτωσης β, της παρ. 1, καθώς και της παρ. 7, του άρθρου 37 του Ν. 2960/01 «Εθνικός Τελωνειακός Κώδικας». (ΦΕΚ 265 Α").</w:t>
      </w:r>
    </w:p>
    <w:p>
      <w:pPr>
        <w:pStyle w:val="PreambelText"/>
        <w:spacing w:before="240" w:after="240"/>
        <w:rPr>
          <w:lang w:val="el" w:eastAsia="el"/>
        </w:rPr>
      </w:pPr>
      <w:r>
        <w:rPr>
          <w:lang w:val="el" w:eastAsia="el"/>
        </w:rPr>
        <w:t>4. Την 1100383/1330/Α0006/31.10.2001 (ΦΕΚ 1485/Β/ 31.10.2001) Απόφαση του Υπουργού Οικονομικών «καθορισμός αρμοδιοτήτων των Υφυπουργών Οικονομικών».</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1Σ </w:t>
      </w:r>
    </w:p>
    <w:p>
      <w:pPr>
        <w:pStyle w:val="Heading6"/>
        <w:spacing w:before="240" w:after="240"/>
        <w:rPr>
          <w:lang w:val="el" w:eastAsia="el"/>
        </w:rPr>
      </w:pPr>
      <w:r>
        <w:rPr>
          <w:lang w:val="el" w:eastAsia="el"/>
        </w:rPr>
        <w:t>υγκρότηση Επιτροπής</w:t>
      </w:r>
    </w:p>
    <w:p>
      <w:pPr>
        <w:spacing w:before="240" w:after="240"/>
        <w:rPr>
          <w:lang w:val="el" w:eastAsia="el"/>
        </w:rPr>
      </w:pPr>
      <w:r>
        <w:rPr>
          <w:lang w:val="el" w:eastAsia="el"/>
        </w:rPr>
        <w:t>Η προβλεπόμενη από τις διατάξεις της περίπτωσης β, της παρ.1, του άρθρου 37, του Ν. 2960/01 «Εθνικός Τελωνειακός Κώδικας» Επιτροπή καταστροφής εμπορευμάτων συγκροτείται από τον Προϊστάμενο της αρμόδιας Τελωνειακής Αρχής στην χωρική αρμοδιότητα της οποίας βρίσκονται τα υπό καταστροφή εμπορεύματα, ή τον νόμιμο αναπληρωτή αυτού.</w:t>
      </w:r>
    </w:p>
    <w:p>
      <w:pPr>
        <w:spacing w:before="240" w:after="240"/>
        <w:rPr>
          <w:lang w:val="el" w:eastAsia="el"/>
        </w:rPr>
      </w:pPr>
      <w:r>
        <w:rPr>
          <w:lang w:val="el" w:eastAsia="el"/>
        </w:rPr>
        <w:t>Η επιτροπή είναι τριμελής με πρόεδρο τον Προϊστάμενο της ανωτέρω Τελωνειακής Αρχής, ή τον νόμιμο αναπληρωτή του, και μέλη δύο υπαλλήλους της με ελεγκτικά καθήκοντα, οι οποίοι ορίζονται από τον πρόεδρο της ελλείψει δε ενός εκ των δύο τελευταίων, στην επιτροπή συμμετέχει άλλος τελωνειακός υπάλληλος που ορίζεται επίσης από τον πρόεδρο αυτής.</w:t>
      </w:r>
    </w:p>
    <w:p>
      <w:pPr>
        <w:spacing w:before="240" w:after="240"/>
        <w:rPr>
          <w:lang w:val="el" w:eastAsia="el"/>
        </w:rPr>
      </w:pPr>
      <w:r>
        <w:rPr>
          <w:lang w:val="el" w:eastAsia="el"/>
        </w:rPr>
        <w:t>Χρέη γραμματέα της Επιτροπής ασκεί ένας εκ των ανωτέρω υπαλλήλων που ορίζει ο πρόεδρός της.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Αρμοδιότητα Επιτροπής</w:t>
      </w:r>
    </w:p>
    <w:p>
      <w:pPr>
        <w:spacing w:before="240" w:after="240"/>
        <w:rPr>
          <w:lang w:val="el" w:eastAsia="el"/>
        </w:rPr>
      </w:pPr>
      <w:r>
        <w:rPr>
          <w:lang w:val="el" w:eastAsia="el"/>
        </w:rPr>
        <w:t>Στην αρμοδιότητα της Επιτροπής του άρθρου 1, σύμφωνα με τις κείμενες διατάξεις, ανήκει η διενέργεια της καταστροφής εμπορευμάτων ύστερα από γραπτή αίτηση του διασαφιστή αυτών ή του υπόχρεου καταβολής Ε.Φ.Κ. επ' αυτών, σύμφωνα με την περίπτωση β, παρ.1, του άρθρου 37, του Ν. 2960/01, κατόπιν έγκρισης του Προϊστάμενου της αρμόδιας Τελωνειακής Αρχής, καθώς και η καταστροφή εμπορευμάτων που υπέστησαν φθορά ή είναι δυσχερής η φύλαξή τους, ή υπάρχει κίνδυνος για τη διατήρηση τους, σύμφωνα με την παρ. 7, του ιδίου ως άνω άρθρου, κατόπιν απόφασης της αρμόδιας Τελωνειακής Αρχής.</w:t>
      </w:r>
    </w:p>
    <w:p>
      <w:pPr>
        <w:pStyle w:val="Heading6"/>
        <w:spacing w:before="240" w:after="240"/>
        <w:rPr>
          <w:lang w:val="el" w:eastAsia="el"/>
        </w:rPr>
      </w:pPr>
      <w:r>
        <w:rPr>
          <w:lang w:val="el" w:eastAsia="el"/>
        </w:rPr>
        <w:t xml:space="preserve">Άρθρο 3Δι </w:t>
      </w:r>
    </w:p>
    <w:p>
      <w:pPr>
        <w:pStyle w:val="Heading6"/>
        <w:spacing w:before="240" w:after="240"/>
        <w:rPr>
          <w:lang w:val="el" w:eastAsia="el"/>
        </w:rPr>
      </w:pPr>
      <w:r>
        <w:rPr>
          <w:lang w:val="el" w:eastAsia="el"/>
        </w:rPr>
        <w:t>αδικασία Καταστροφής</w:t>
      </w:r>
    </w:p>
    <w:p>
      <w:pPr>
        <w:pStyle w:val="MainText"/>
        <w:spacing w:before="120" w:after="0"/>
        <w:rPr>
          <w:lang w:val="el" w:eastAsia="el"/>
        </w:rPr>
      </w:pPr>
      <w:r>
        <w:rPr>
          <w:b/>
          <w:bCs/>
          <w:lang w:val="el" w:eastAsia="el"/>
        </w:rPr>
        <w:t>1.</w:t>
      </w:r>
      <w:r>
        <w:rPr>
          <w:lang w:val="el" w:eastAsia="el"/>
        </w:rPr>
        <w:t xml:space="preserve"> Η Επιτροπή του άρθρου 1 συγκαλείται από τον Προϊστάμενο της Τελωνειακής Αρχής, ή τον νόμιμο αναπληρωτή του, η οποία εγκρίνει την καταστροφή των εμπορευμάτων, όταν γίνεται αποδεκτή η σχετική προς τούτο γραπτή αίτηση του διασαφιστή τους ή του υπόχρεου καταβολής Ε.Φ.Κ. επ' αυτών.</w:t>
      </w:r>
    </w:p>
    <w:p>
      <w:pPr>
        <w:pStyle w:val="MainText"/>
        <w:spacing w:before="120" w:after="0"/>
        <w:rPr>
          <w:lang w:val="el" w:eastAsia="el"/>
        </w:rPr>
      </w:pPr>
      <w:r>
        <w:rPr>
          <w:b/>
          <w:bCs/>
          <w:lang w:val="el" w:eastAsia="el"/>
        </w:rPr>
        <w:t>2.</w:t>
      </w:r>
      <w:r>
        <w:rPr>
          <w:lang w:val="el" w:eastAsia="el"/>
        </w:rPr>
        <w:t xml:space="preserve"> Η Επιτροπή του άρθρου 1 προβαίνει στην επαλήθευση και καταμέτρηση των υπό καταστροφή εμπορευμάτων. Η καταστροφή των εμπορευμάτων γίνεται με το πλέον πρόσφορο τρόπο (τεμαχισμό, σύνθλιψη, καύση, υγειονομική ταφή, απόχυση, κ.ά.), ώστε να είναι αδύνατη η περαιτέρω χρησιμοποίηση αυτών. Η επαλήθευση, καταμέτρηση και καταστροφή των εν λόγω εμπορευμάτων πραγματοποιείται παρουσία του αιτούντος την καταστροφή αυτών, ή του νόμιμου αντιπροσώπου του.</w:t>
      </w:r>
    </w:p>
    <w:p>
      <w:pPr>
        <w:pStyle w:val="MainText"/>
        <w:spacing w:before="120" w:after="0"/>
        <w:rPr>
          <w:lang w:val="el" w:eastAsia="el"/>
        </w:rPr>
      </w:pPr>
      <w:r>
        <w:rPr>
          <w:b/>
          <w:bCs/>
          <w:lang w:val="el" w:eastAsia="el"/>
        </w:rPr>
        <w:t>3.</w:t>
      </w:r>
      <w:r>
        <w:rPr>
          <w:lang w:val="el" w:eastAsia="el"/>
        </w:rPr>
        <w:t xml:space="preserve"> Για την καταστροφή των εμπορευμάτων συντάσσεται πρωτόκολλο όπου αναφέρεται ο τρόπος καταστροφής τους καθώς και το είδος και η ποσότητα των υπολειμμάτων και απορριμμάτων που ενδεχόμενα προκύπτουν από την καταστροφή, ώστε να είναι δυνατόν αυτά να τεθούν σε ανάλωση ή ελεύθερη κυκλοφορία, εφόσον προηγούμενα καταβληθούν οι δασμοφορολογικές επιβαρύνσεις που αναλογούν σ’ αυτά.</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Καταστροφή Εμπορευμάτων λόγω ύπαρξηςκινδύνου από τη διατήρηση τους.</w:t>
      </w:r>
    </w:p>
    <w:p>
      <w:pPr>
        <w:pStyle w:val="MainText"/>
        <w:spacing w:before="120" w:after="0"/>
        <w:rPr>
          <w:lang w:val="el" w:eastAsia="el"/>
        </w:rPr>
      </w:pPr>
      <w:r>
        <w:rPr>
          <w:b/>
          <w:bCs/>
          <w:lang w:val="el" w:eastAsia="el"/>
        </w:rPr>
        <w:t>1.</w:t>
      </w:r>
      <w:r>
        <w:rPr>
          <w:lang w:val="el" w:eastAsia="el"/>
        </w:rPr>
        <w:t xml:space="preserve"> Η Επιτροπή του άρθρου 1 προβαίνει στην διενέργεια της διαδικασίας καταστροφής των εμπορευμάτων, κατ’ εφαρμογή των διατάξεων της παρ. 7, του άρθρου 37, του Ν.2960/01, ύστερα από τη σχετική προς τούτο απόφαση της αρμόδιας Τελωνειακής Αρχής, περί καταστροφής των εμπορευμάτων λόγω ύπαρξης κινδύνου από τη διατήρηση τους.</w:t>
      </w:r>
    </w:p>
    <w:p>
      <w:pPr>
        <w:pStyle w:val="MainText"/>
        <w:spacing w:before="120" w:after="0"/>
        <w:rPr>
          <w:lang w:val="el" w:eastAsia="el"/>
        </w:rPr>
      </w:pPr>
      <w:r>
        <w:rPr>
          <w:b/>
          <w:bCs/>
          <w:lang w:val="el" w:eastAsia="el"/>
        </w:rPr>
        <w:t>2.</w:t>
      </w:r>
      <w:r>
        <w:rPr>
          <w:lang w:val="el" w:eastAsia="el"/>
        </w:rPr>
        <w:t xml:space="preserve"> Η εν λόγω απόφαση εκδίδεται κατόπιν γνωμοδότησης αρμόδιου επιστήμονα (ιατρού, γεωπόνου, τεχνολόγου τροφίμων κ.λπ.) της Δ/νσης της οικείας Νομαρχιακής Αυτοδιοίκησης, ή επιστήμονα χημικού της οικείας Χημικής Υπηρεσίας, στην οποία αναφέρεται ότι κρίνεται αναγκαία η καταστροφή των εμπορευμάτων λόγω ύπαρξης κινδύνου από τη διατήρηση τους, που απειλεί τη δημόσια υγεία. (σήψη, αλλοίωση, κ.ά. των εμπορευμάτων).</w:t>
      </w:r>
    </w:p>
    <w:p>
      <w:pPr>
        <w:spacing w:before="240" w:after="240"/>
        <w:rPr>
          <w:lang w:val="el" w:eastAsia="el"/>
        </w:rPr>
      </w:pPr>
      <w:r>
        <w:rPr>
          <w:lang w:val="el" w:eastAsia="el"/>
        </w:rPr>
        <w:t>Η γνωμοδότηση αυτή κοινοποιείται στον κύριο των εμπορευμάτων ο οποίος καλείται να παραστεί κατά την καταστροφή αυτών σε οριζόμενη από την αρμόδια Τελωνειακή Αρχή ημερομηνία.</w:t>
      </w:r>
    </w:p>
    <w:p>
      <w:pPr>
        <w:spacing w:before="240" w:after="240"/>
        <w:rPr>
          <w:lang w:val="el" w:eastAsia="el"/>
        </w:rPr>
      </w:pPr>
      <w:r>
        <w:rPr>
          <w:lang w:val="el" w:eastAsia="el"/>
        </w:rPr>
        <w:t>0 κύριος των εμπορευμάτων δικαιούται, εντός 24 ωρών, λαμβανομένων υπόψη μόνο των εργάσιμων ημερών, από την κοινοποίηση της γνωμοδότησης, να ζητήσει αναθεώρηση της ανωτέρω γνωμοδότησης, ενεργούμενης από τον γνωμοδοτήσαντα επιστήμονα της οικείας Νομαρχίας ή επιστήμονα χημικό της οικείας Χημικής Υπηρεσίας και άλλο ανάλογο επιστήμονα, προτεινόμενο από τον κύριο των εμπορευμάτων.</w:t>
      </w:r>
    </w:p>
    <w:p>
      <w:pPr>
        <w:spacing w:before="240" w:after="240"/>
        <w:rPr>
          <w:lang w:val="el" w:eastAsia="el"/>
        </w:rPr>
      </w:pPr>
      <w:r>
        <w:rPr>
          <w:lang w:val="el" w:eastAsia="el"/>
        </w:rPr>
        <w:t>Σε περίπτωση διαφωνίας αυτών, αποφαίνεται αμετάκλητα, περί της αναγκαιότητας καταστροφής των εμπορευμάτων, τρίτος επιδιαιτητής επιστήμων διοριζόμενος από τον Ειρηνοδίκη της περιοχής όπου βρίσκεται η αρμόδια Τελωνειακή Αρχή.</w:t>
      </w:r>
    </w:p>
    <w:p>
      <w:pPr>
        <w:spacing w:before="240" w:after="240"/>
        <w:rPr>
          <w:lang w:val="el" w:eastAsia="el"/>
        </w:rPr>
      </w:pPr>
      <w:r>
        <w:rPr>
          <w:lang w:val="el" w:eastAsia="el"/>
        </w:rPr>
        <w:t>Οι πραγματογνώμονες επιστήμονες δίνουν, ενώπιον του Προϊσταμένου της αρμόδιας Τελωνειακής Αρχής, τον κατά τις διατάξεις της Πολιτικής Δικονομίας οριζόμενο όρκο και υπέχουν τις ευθύνες των δημοσίων υπαλλήλων δια την εκτέλεση των καθηκόντων τους.</w:t>
      </w:r>
    </w:p>
    <w:p>
      <w:pPr>
        <w:pStyle w:val="MainText"/>
        <w:spacing w:before="120" w:after="0"/>
        <w:rPr>
          <w:lang w:val="el" w:eastAsia="el"/>
        </w:rPr>
      </w:pPr>
      <w:r>
        <w:rPr>
          <w:b/>
          <w:bCs/>
          <w:lang w:val="el" w:eastAsia="el"/>
        </w:rPr>
        <w:t>3.</w:t>
      </w:r>
      <w:r>
        <w:rPr>
          <w:lang w:val="el" w:eastAsia="el"/>
        </w:rPr>
        <w:t xml:space="preserve"> Η Τελωνειακή Αρχή δύναται, εφόσον αυτό απαιτείται, με ευθύνη και με δαπάνες του υπόχρεου, να μεταφέρει τα προς καταστροφή εμπορεύματα από τον χώρο που βρίσκονται σε ειδικούς υπό την εποπτεία της χώρους.</w:t>
      </w:r>
    </w:p>
    <w:p>
      <w:pPr>
        <w:pStyle w:val="MainText"/>
        <w:spacing w:before="120" w:after="0"/>
        <w:rPr>
          <w:lang w:val="el" w:eastAsia="el"/>
        </w:rPr>
      </w:pPr>
      <w:r>
        <w:rPr>
          <w:b/>
          <w:bCs/>
          <w:lang w:val="el" w:eastAsia="el"/>
        </w:rPr>
        <w:t>4.</w:t>
      </w:r>
      <w:r>
        <w:rPr>
          <w:lang w:val="el" w:eastAsia="el"/>
        </w:rPr>
        <w:t xml:space="preserve"> Σε όλες τις ανωτέρω περιπτώσεις οι σχετικές δαπάνες καταστροφής επιβαρύνουν τον υπόχρεο.</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Ιουνίου 2002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ΑΠ.ΦΩΤΙΑΔΗΣ</w:t>
      </w:r>
      <w:r>
        <w:rPr>
          <w:lang w:val="el" w:eastAsia="el"/>
        </w:rPr>
        <w:t xml:space="preserve"> ♦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