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ΠΟΛ.1019/2003</w:t>
      </w:r>
    </w:p>
    <w:p>
      <w:pPr>
        <w:pStyle w:val="Title"/>
        <w:spacing w:before="120" w:after="360"/>
        <w:rPr>
          <w:lang w:val="el" w:eastAsia="el"/>
        </w:rPr>
      </w:pPr>
      <w:r>
        <w:rPr>
          <w:lang w:val="el" w:eastAsia="el"/>
        </w:rPr>
        <w:t>Τύπος, περιεχόμενο, τρόπος και χρόνος υποβολής της περιοδικής δήλωσης Φ.Π.Α, για υποκείμενους με βιβλία Α' ή Β' ή Γ' κατηγορίας του Κ.Β.Σ., καθώς και της έκτακτης δήλωσης Φ.Π.Α. των υποκείμενων αυτών, των μη υποκείμενων ή απαλλασσόμενων.</w:t>
      </w:r>
    </w:p>
    <w:p>
      <w:pPr>
        <w:pStyle w:val="PreambelText"/>
        <w:spacing w:before="240" w:after="240"/>
        <w:rPr>
          <w:lang w:val="el" w:eastAsia="el"/>
        </w:rPr>
      </w:pPr>
      <w:r>
        <w:rPr>
          <w:lang w:val="el" w:eastAsia="el"/>
        </w:rPr>
        <w:t>Αθήνα, 4 Φεβρουαρίου 2003</w:t>
      </w:r>
    </w:p>
    <w:p>
      <w:pPr>
        <w:pStyle w:val="PreambelText"/>
        <w:spacing w:before="240" w:after="240"/>
        <w:rPr>
          <w:lang w:val="el" w:eastAsia="el"/>
        </w:rPr>
      </w:pPr>
      <w:r>
        <w:rPr>
          <w:lang w:val="el" w:eastAsia="el"/>
        </w:rPr>
        <w:t>Αριθμ.Πρωτ.: 1003644/194/27/0014</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ΟΙΚΟΝΟΜΙΑΣ ΚΑΙ ΟΙΚΟΝΟΜΙΚΩΝ</w:t>
      </w:r>
    </w:p>
    <w:p>
      <w:pPr>
        <w:pStyle w:val="PreambelText"/>
        <w:spacing w:before="240" w:after="240"/>
        <w:rPr>
          <w:lang w:val="el" w:eastAsia="el"/>
        </w:rPr>
      </w:pPr>
      <w:r>
        <w:rPr>
          <w:lang w:val="el" w:eastAsia="el"/>
        </w:rPr>
        <w:t>Α. ΓΕΝΙΚΗ Δ/ΝΣΗ ΦΟΡΟΛΟΓΙΑΣ</w:t>
      </w:r>
    </w:p>
    <w:p>
      <w:pPr>
        <w:pStyle w:val="PreambelText"/>
        <w:spacing w:before="240" w:after="240"/>
        <w:rPr>
          <w:lang w:val="el" w:eastAsia="el"/>
        </w:rPr>
      </w:pPr>
      <w:r>
        <w:rPr>
          <w:lang w:val="el" w:eastAsia="el"/>
        </w:rPr>
        <w:t>1. ΔΙΕΥΘΥΝΣΗ: 14η ΦΠΑ ΤΜΗΜΑ ΑΆ</w:t>
      </w:r>
    </w:p>
    <w:p>
      <w:pPr>
        <w:pStyle w:val="PreambelText"/>
        <w:spacing w:before="240" w:after="240"/>
        <w:rPr>
          <w:lang w:val="el" w:eastAsia="el"/>
        </w:rPr>
      </w:pPr>
      <w:r>
        <w:rPr>
          <w:lang w:val="el" w:eastAsia="el"/>
        </w:rPr>
        <w:t>2. Δ/ΝΣΗ 16η ΕΙΣΠΡΑΞΗΣ ΔΗΜ. ΕΣΟΔΩΝ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ΕΆ</w:t>
      </w:r>
    </w:p>
    <w:p>
      <w:pPr>
        <w:spacing w:before="240" w:after="240"/>
        <w:rPr>
          <w:lang w:val="el" w:eastAsia="el"/>
        </w:rPr>
      </w:pPr>
      <w:r>
        <w:rPr>
          <w:lang w:val="el" w:eastAsia="el"/>
        </w:rPr>
        <w:t>Β. Γ.Γ. ΠΛΗΡΟΦΟΡΙΑΚΩΝ ΣΥΣΤΗΜΑΤΩΝ Δ/ΝΣΗ 30η</w:t>
      </w:r>
    </w:p>
    <w:p>
      <w:pPr>
        <w:spacing w:before="240" w:after="240"/>
        <w:rPr>
          <w:lang w:val="el" w:eastAsia="el"/>
        </w:rPr>
      </w:pPr>
      <w:r>
        <w:rPr>
          <w:lang w:val="el" w:eastAsia="el"/>
        </w:rPr>
        <w:t>ΕΦΑΡΜΟΓΩΝ Η/Υ ΤΜΗΜΑΤΑ ΑΆ, ΒΆ</w:t>
      </w:r>
    </w:p>
    <w:p>
      <w:pPr>
        <w:spacing w:before="240" w:after="240"/>
        <w:rPr>
          <w:lang w:val="el" w:eastAsia="el"/>
        </w:rPr>
      </w:pPr>
      <w:r>
        <w:rPr>
          <w:b/>
          <w:bCs/>
          <w:lang w:val="el" w:eastAsia="el"/>
        </w:rPr>
        <w:t>ΠΟΛ 1019</w:t>
      </w:r>
    </w:p>
    <w:p>
      <w:pPr>
        <w:spacing w:before="240" w:after="240"/>
        <w:rPr>
          <w:lang w:val="el" w:eastAsia="el"/>
        </w:rPr>
      </w:pPr>
      <w:r>
        <w:rPr>
          <w:b/>
          <w:bCs/>
          <w:lang w:val="el" w:eastAsia="el"/>
        </w:rPr>
        <w:t>ΘΕΜΑ: Τύπος, περιεχόμενο, τρόπος και χρόνος υποβολής της περιοδικής δήλωσης Φ.Π.Α, για υποκείμενους με βιβλία Α' ή Β' ή Γ' κατηγορίας του Κ.Β.Σ., καθώς και της έκτακτης δήλωσης Φ.Π.Α. των υποκείμενων αυτών, των μη υποκείμενων ή απαλλασσόμενων.</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ακόλουθες διατάξεις του Ν.2859/2000 (ΦΕΚ 248 Α'), όπως ισχύουν :</w:t>
      </w:r>
    </w:p>
    <w:p>
      <w:pPr>
        <w:pStyle w:val="StructureList1"/>
        <w:spacing w:before="120" w:after="0"/>
        <w:rPr>
          <w:lang w:val="el" w:eastAsia="el"/>
        </w:rPr>
      </w:pPr>
      <w:r>
        <w:rPr>
          <w:lang w:val="el" w:eastAsia="el"/>
        </w:rPr>
        <w:t>α)</w:t>
      </w:r>
      <w:r>
        <w:rPr>
          <w:lang w:val="en" w:eastAsia="en"/>
        </w:rPr>
        <w:tab/>
      </w:r>
      <w:r>
        <w:rPr>
          <w:lang w:val="el" w:eastAsia="el"/>
        </w:rPr>
        <w:t>των παραγράφων 1 περίπτωση α', 2 , 3 , 6 και 9 του άρθρου 38 ,</w:t>
      </w:r>
    </w:p>
    <w:p>
      <w:pPr>
        <w:pStyle w:val="StructureList1"/>
        <w:spacing w:before="120" w:after="0"/>
        <w:rPr>
          <w:lang w:val="el" w:eastAsia="el"/>
        </w:rPr>
      </w:pPr>
      <w:r>
        <w:rPr>
          <w:lang w:val="el" w:eastAsia="el"/>
        </w:rPr>
        <w:t>β)</w:t>
      </w:r>
      <w:r>
        <w:rPr>
          <w:lang w:val="en" w:eastAsia="en"/>
        </w:rPr>
        <w:tab/>
      </w:r>
      <w:r>
        <w:rPr>
          <w:lang w:val="el" w:eastAsia="el"/>
        </w:rPr>
        <w:t>της παραγράφου 2 του άρθρου 59 ,</w:t>
      </w:r>
    </w:p>
    <w:p>
      <w:pPr>
        <w:pStyle w:val="StructureList1"/>
        <w:spacing w:before="120" w:after="0"/>
        <w:rPr>
          <w:lang w:val="el" w:eastAsia="el"/>
        </w:rPr>
      </w:pPr>
      <w:r>
        <w:rPr>
          <w:lang w:val="el" w:eastAsia="el"/>
        </w:rPr>
        <w:t>γ)</w:t>
      </w:r>
      <w:r>
        <w:rPr>
          <w:lang w:val="en" w:eastAsia="en"/>
        </w:rPr>
        <w:tab/>
      </w:r>
      <w:r>
        <w:rPr>
          <w:lang w:val="el" w:eastAsia="el"/>
        </w:rPr>
        <w:t>της παραγράφου 3 του άρθρου 64</w:t>
      </w:r>
    </w:p>
    <w:p>
      <w:pPr>
        <w:spacing w:before="240" w:after="240"/>
        <w:rPr>
          <w:lang w:val="el" w:eastAsia="el"/>
        </w:rPr>
      </w:pPr>
      <w:r>
        <w:rPr>
          <w:lang w:val="el" w:eastAsia="el"/>
        </w:rPr>
        <w:t>2. Τις διατάξεις των ακόλουθων αποφάσεων του Υπουργού Οικονομίας και Οικονομικών (Α.Υ.Ο.):</w:t>
      </w:r>
    </w:p>
    <w:p>
      <w:pPr>
        <w:pStyle w:val="StructureList1"/>
        <w:spacing w:before="120" w:after="0"/>
        <w:rPr>
          <w:lang w:val="el" w:eastAsia="el"/>
        </w:rPr>
      </w:pPr>
      <w:r>
        <w:rPr>
          <w:lang w:val="el" w:eastAsia="el"/>
        </w:rPr>
        <w:t>α)</w:t>
      </w:r>
      <w:r>
        <w:rPr>
          <w:lang w:val="en" w:eastAsia="en"/>
        </w:rPr>
        <w:tab/>
      </w:r>
      <w:r>
        <w:rPr>
          <w:lang w:val="el" w:eastAsia="el"/>
        </w:rPr>
        <w:t>1092541/5472/690/0014/ ΠΟΛ.1278/5.12.2001 (ΦΕΚ 1678 Β)</w:t>
      </w:r>
    </w:p>
    <w:p>
      <w:pPr>
        <w:pStyle w:val="StructureList1"/>
        <w:spacing w:before="120" w:after="0"/>
        <w:rPr>
          <w:lang w:val="el" w:eastAsia="el"/>
        </w:rPr>
      </w:pPr>
      <w:r>
        <w:rPr>
          <w:lang w:val="el" w:eastAsia="el"/>
        </w:rPr>
        <w:t>β)</w:t>
      </w:r>
      <w:r>
        <w:rPr>
          <w:lang w:val="en" w:eastAsia="en"/>
        </w:rPr>
        <w:tab/>
      </w:r>
      <w:r>
        <w:rPr>
          <w:lang w:val="el" w:eastAsia="el"/>
        </w:rPr>
        <w:t>1023404/1363/0016/ ΠΟΛ.1054/2.3.2001 ,</w:t>
      </w:r>
    </w:p>
    <w:p>
      <w:pPr>
        <w:pStyle w:val="StructureList1"/>
        <w:spacing w:before="120" w:after="0"/>
        <w:rPr>
          <w:lang w:val="el" w:eastAsia="el"/>
        </w:rPr>
      </w:pPr>
      <w:r>
        <w:rPr>
          <w:lang w:val="el" w:eastAsia="el"/>
        </w:rPr>
        <w:t>γ)</w:t>
      </w:r>
      <w:r>
        <w:rPr>
          <w:lang w:val="en" w:eastAsia="en"/>
        </w:rPr>
        <w:tab/>
      </w:r>
      <w:r>
        <w:rPr>
          <w:lang w:val="el" w:eastAsia="el"/>
        </w:rPr>
        <w:t>1023240/1107/163/0014/ ΠΟΛ.1055/2.3.2001 (ΦΕΚ 215 Β).</w:t>
      </w:r>
    </w:p>
    <w:p>
      <w:pPr>
        <w:pStyle w:val="StructureList1"/>
        <w:spacing w:before="120" w:after="0"/>
        <w:rPr>
          <w:lang w:val="el" w:eastAsia="el"/>
        </w:rPr>
      </w:pPr>
      <w:r>
        <w:rPr>
          <w:lang w:val="el" w:eastAsia="el"/>
        </w:rPr>
        <w:t>δ)</w:t>
      </w:r>
      <w:r>
        <w:rPr>
          <w:lang w:val="en" w:eastAsia="en"/>
        </w:rPr>
        <w:tab/>
      </w:r>
      <w:r>
        <w:rPr>
          <w:lang w:val="el" w:eastAsia="el"/>
        </w:rPr>
        <w:t>1002414/204/25/0014/ ΠΟΛ.1005/8.1.1993 (ΦΕΚ 238 Β) ,</w:t>
      </w:r>
    </w:p>
    <w:p>
      <w:pPr>
        <w:spacing w:before="240" w:after="240"/>
        <w:rPr>
          <w:lang w:val="el" w:eastAsia="el"/>
        </w:rPr>
      </w:pPr>
      <w:r>
        <w:rPr>
          <w:lang w:val="el" w:eastAsia="el"/>
        </w:rPr>
        <w:t>ως ισχύει μετά τις 1042660/3595/Α0014/ ΠΟΛ.1115/23.3.1993 (ΦΕΚ 252 Β)</w:t>
      </w:r>
    </w:p>
    <w:p>
      <w:pPr>
        <w:spacing w:before="240" w:after="240"/>
        <w:rPr>
          <w:lang w:val="el" w:eastAsia="el"/>
        </w:rPr>
      </w:pPr>
      <w:r>
        <w:rPr>
          <w:lang w:val="el" w:eastAsia="el"/>
        </w:rPr>
        <w:t>και 1105799/1797/8881/0014/ ΠΟΛ.1214/19.9.1994 (ΦΕΚ 727Β ) Α.Υ.Ο.</w:t>
      </w:r>
    </w:p>
    <w:p>
      <w:pPr>
        <w:pStyle w:val="StructureList1"/>
        <w:spacing w:before="120" w:after="0"/>
        <w:rPr>
          <w:lang w:val="el" w:eastAsia="el"/>
        </w:rPr>
      </w:pPr>
      <w:r>
        <w:rPr>
          <w:lang w:val="el" w:eastAsia="el"/>
        </w:rPr>
        <w:t>ε)</w:t>
      </w:r>
      <w:r>
        <w:rPr>
          <w:lang w:val="en" w:eastAsia="en"/>
        </w:rPr>
        <w:tab/>
      </w:r>
      <w:r>
        <w:rPr>
          <w:lang w:val="el" w:eastAsia="el"/>
        </w:rPr>
        <w:t>1101260/6084/787/0014/ ΠΟΛ.1257/14.11.2001 (ΦΕΚ 1578 Β),</w:t>
      </w:r>
    </w:p>
    <w:p>
      <w:pPr>
        <w:pStyle w:val="StructureList1"/>
        <w:spacing w:before="120" w:after="0"/>
        <w:rPr>
          <w:lang w:val="el" w:eastAsia="el"/>
        </w:rPr>
      </w:pPr>
      <w:r>
        <w:rPr>
          <w:lang w:val="el" w:eastAsia="el"/>
        </w:rPr>
        <w:t>στ)</w:t>
      </w:r>
      <w:r>
        <w:rPr>
          <w:lang w:val="en" w:eastAsia="en"/>
        </w:rPr>
        <w:tab/>
      </w:r>
      <w:r>
        <w:rPr>
          <w:lang w:val="el" w:eastAsia="el"/>
        </w:rPr>
        <w:t>1042252/1534/355/0014/ ΠΟΛ.1149/15.5.2002 (ΦΕΚ 656 Β),</w:t>
      </w:r>
    </w:p>
    <w:p>
      <w:pPr>
        <w:pStyle w:val="StructureList1"/>
        <w:spacing w:before="120" w:after="0"/>
        <w:rPr>
          <w:lang w:val="el" w:eastAsia="el"/>
        </w:rPr>
      </w:pPr>
      <w:r>
        <w:rPr>
          <w:lang w:val="el" w:eastAsia="el"/>
        </w:rPr>
        <w:t>ζ)</w:t>
      </w:r>
      <w:r>
        <w:rPr>
          <w:lang w:val="en" w:eastAsia="en"/>
        </w:rPr>
        <w:tab/>
      </w:r>
      <w:r>
        <w:rPr>
          <w:lang w:val="el" w:eastAsia="el"/>
        </w:rPr>
        <w:t>1084741 /5672/956/0014/ ΠΟΛ.1240/21.10.2002 (ΦΕΚ 1420 Β) ,</w:t>
      </w:r>
    </w:p>
    <w:p>
      <w:pPr>
        <w:pStyle w:val="StructureList1"/>
        <w:spacing w:before="120" w:after="0"/>
        <w:rPr>
          <w:lang w:val="el" w:eastAsia="el"/>
        </w:rPr>
      </w:pPr>
      <w:r>
        <w:rPr>
          <w:lang w:val="el" w:eastAsia="el"/>
        </w:rPr>
        <w:t>η)</w:t>
      </w:r>
      <w:r>
        <w:rPr>
          <w:lang w:val="en" w:eastAsia="en"/>
        </w:rPr>
        <w:tab/>
      </w:r>
      <w:r>
        <w:rPr>
          <w:lang w:val="el" w:eastAsia="el"/>
        </w:rPr>
        <w:t>1085725/6531/1127/0014/ ΠΟΛ.1242/24.10.2002 (ΦΕΚ 1420 Β).</w:t>
      </w:r>
    </w:p>
    <w:p>
      <w:pPr>
        <w:spacing w:before="240" w:after="240"/>
        <w:rPr>
          <w:lang w:val="el" w:eastAsia="el"/>
        </w:rPr>
      </w:pPr>
      <w:r>
        <w:rPr>
          <w:lang w:val="el" w:eastAsia="el"/>
        </w:rPr>
        <w:t>3. Τις διατάξεις του άρθρου 69 του Π.Δ. 16/1989 (ΦΕΚ 6 Α).</w:t>
      </w:r>
    </w:p>
    <w:p>
      <w:pPr>
        <w:spacing w:before="240" w:after="240"/>
        <w:rPr>
          <w:lang w:val="el" w:eastAsia="el"/>
        </w:rPr>
      </w:pPr>
      <w:r>
        <w:rPr>
          <w:lang w:val="el" w:eastAsia="el"/>
        </w:rPr>
        <w:t>4. Τις διατάξεις του άρθρου 12 του Ν.2362/1995 (ΦΕΚ 247 Α) περί αποδεικτικών εισπράξεως.</w:t>
      </w:r>
    </w:p>
    <w:p>
      <w:pPr>
        <w:spacing w:before="240" w:after="240"/>
        <w:rPr>
          <w:lang w:val="el" w:eastAsia="el"/>
        </w:rPr>
      </w:pPr>
      <w:r>
        <w:rPr>
          <w:lang w:val="el" w:eastAsia="el"/>
        </w:rPr>
        <w:t>5. Την 1100383/1330/Α0006/31 -10-01 (ΦΕΚ 1485 Β) κοινή απόφαση του Πρωθυπουργού και Υπουργού Εθνικής Οικονομίας και Οικονομικών, με την οποία μεταβιβάζονται αρμοδιότητες του Υπουργού Οικονομίας και Οικονομικών στους Υφυπουργούς Οικονομικών.</w:t>
      </w:r>
    </w:p>
    <w:p>
      <w:pPr>
        <w:spacing w:before="240" w:after="240"/>
        <w:rPr>
          <w:lang w:val="el" w:eastAsia="el"/>
        </w:rPr>
      </w:pPr>
      <w:r>
        <w:rPr>
          <w:lang w:val="el" w:eastAsia="el"/>
        </w:rPr>
        <w:t>6. Την ανάγκη απλοποίησης των διαδικασιών και του χρόνου υποβολής των περιοδικών δηλώσεων Φ.Π.Α..</w:t>
      </w:r>
    </w:p>
    <w:p>
      <w:pPr>
        <w:spacing w:before="240" w:after="240"/>
        <w:rPr>
          <w:lang w:val="el" w:eastAsia="el"/>
        </w:rPr>
      </w:pPr>
      <w:r>
        <w:rPr>
          <w:lang w:val="el" w:eastAsia="el"/>
        </w:rPr>
        <w:t>7- Τις συνθήκες που δημιουργήθηκαν λόγω της δυνατότητας υποβολής των περιοδικών δηλώσεων ΦΠΑ με ηλεκτρονικό τρόπο (ΤΑΧΙSnet).</w:t>
      </w:r>
    </w:p>
    <w:p>
      <w:pPr>
        <w:spacing w:before="240" w:after="240"/>
        <w:rPr>
          <w:lang w:val="el" w:eastAsia="el"/>
        </w:rPr>
      </w:pPr>
      <w:r>
        <w:rPr>
          <w:lang w:val="el" w:eastAsia="el"/>
        </w:rPr>
        <w:t>8. Ότι από τις διατάξεις της απόφασης αυτής δεν προκαλείται δαπάνη στην Κρατικό Προϋπολογισμό.</w:t>
      </w:r>
    </w:p>
    <w:p>
      <w:pPr>
        <w:spacing w:before="240" w:after="240"/>
        <w:rPr>
          <w:lang w:val="el" w:eastAsia="el"/>
        </w:rPr>
      </w:pPr>
      <w:r>
        <w:rPr>
          <w:lang w:val="el" w:eastAsia="el"/>
        </w:rPr>
        <w:t>Αποφασίζουμε</w:t>
      </w:r>
    </w:p>
    <w:p>
      <w:pPr>
        <w:pStyle w:val="Heading6"/>
        <w:spacing w:before="240" w:after="240"/>
        <w:rPr>
          <w:lang w:val="el" w:eastAsia="el"/>
        </w:rPr>
      </w:pPr>
      <w:r>
        <w:rPr>
          <w:lang w:val="el" w:eastAsia="el"/>
        </w:rPr>
        <w:t xml:space="preserve">Αρθρο 1. </w:t>
      </w:r>
    </w:p>
    <w:p>
      <w:pPr>
        <w:pStyle w:val="Heading6"/>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lang w:val="el" w:eastAsia="el"/>
        </w:rPr>
        <w:t xml:space="preserve">Αρθρο 3 </w:t>
      </w:r>
    </w:p>
    <w:p>
      <w:pPr>
        <w:pStyle w:val="Heading6"/>
        <w:spacing w:before="240" w:after="240"/>
        <w:rPr>
          <w:lang w:val="el" w:eastAsia="el"/>
        </w:rPr>
      </w:pPr>
      <w:r>
        <w:rPr>
          <w:lang w:val="el" w:eastAsia="el"/>
        </w:rPr>
        <w:t>Χρόνος υποβολής έκτακτης περιοδικής δήλωσης.</w:t>
      </w:r>
    </w:p>
    <w:p>
      <w:pPr>
        <w:pStyle w:val="MainText"/>
        <w:spacing w:before="120" w:after="0"/>
        <w:rPr>
          <w:lang w:val="el" w:eastAsia="el"/>
        </w:rPr>
      </w:pPr>
      <w:r>
        <w:rPr>
          <w:b/>
          <w:bCs/>
          <w:lang w:val="el" w:eastAsia="el"/>
        </w:rPr>
        <w:t>1.</w:t>
      </w:r>
      <w:r>
        <w:rPr>
          <w:lang w:val="el" w:eastAsia="el"/>
        </w:rPr>
        <w:t xml:space="preserve"> 0ι υποκείμενοι στο φόρο που πραγματοποιούν πράξεις χωρίς δικαίωμα έκπτωσης του φόρου των εισροών τους, τα μη υποκείμενα στο φόρο νομικά πρόσωπα, καθώς και οι αγρότες του ειδικού καθεστώτος, όταν πραγματοποιούν ενδοκοινοτικές αποκτήσεις που δεν καλύπτονται από την παρέκκλιση της παραγράφου 2 του άρθρου 11 του Ν.2859/2000 , (δηλαδή οι ενδοκοινοτικές τους αποκτήσεις φορολογούνται, υποχρεωτικά ή προαιρετικά στην Ελλάδα), υποβάλλουν περιοδική δήλωση μόνο για τις περιόδους κατά τις οποίες πραγματοποιούν ενδοκοινοτικές αποκτήσεις ή παραδόσεις και ο φόρος που προκύπτει καταβάλλεται με μία ενιαία έκτακτη περιοδική δήλωση μέχρι τις δεκαπέντε (15) του επομένου μήνα που ακολουθεί το μήνα που κατέστη απαιτητός ο φόρος, σύμφωνα με τις διατάξεις των άρθρων 16 και 18 του Ν.2859/2000 .</w:t>
      </w:r>
    </w:p>
    <w:p>
      <w:pPr>
        <w:spacing w:before="240" w:after="240"/>
        <w:rPr>
          <w:lang w:val="el" w:eastAsia="el"/>
        </w:rPr>
      </w:pPr>
      <w:r>
        <w:rPr>
          <w:lang w:val="el" w:eastAsia="el"/>
        </w:rPr>
        <w:t>Τα πρόσωπα που αναφέρονται στην προηγούμενη παράγραφο δεν έχουν υποχρέωση υποβολής εκκαθαριστικής δήλωσης. Αντίθετα. υποχρεούνται στην υποβολή δήλωσης Intrastat, εφόσον έχουν υπερβεί το κατώφλι εξομοίωσης και ανακεφαλαιωτικού πίνακα ενδοκοινοτικών αποκτήσεων ή παραδόσεων, κατά περίπτωση, με τις προϋποθέσεις και μέσα στις προθεσμίες που ορίζονται από τις οικείες αποφάσεις.</w:t>
      </w:r>
    </w:p>
    <w:p>
      <w:pPr>
        <w:pStyle w:val="MainText"/>
        <w:spacing w:before="120" w:after="0"/>
        <w:rPr>
          <w:lang w:val="el" w:eastAsia="el"/>
        </w:rPr>
      </w:pPr>
      <w:r>
        <w:rPr>
          <w:b/>
          <w:bCs/>
          <w:lang w:val="el" w:eastAsia="el"/>
        </w:rPr>
        <w:t>2.</w:t>
      </w:r>
      <w:r>
        <w:rPr>
          <w:lang w:val="el" w:eastAsia="el"/>
        </w:rPr>
        <w:t xml:space="preserve"> Έκτακτη περιοδική δήλωση υποβάλλεται για μία αιτία ή ενιαία για περισσότερες αιτίες, μέχρι τις 15 του επόμενου μήνα που ακολουθεί το μήνα :</w:t>
      </w:r>
    </w:p>
    <w:p>
      <w:pPr>
        <w:spacing w:before="240" w:after="240"/>
        <w:rPr>
          <w:lang w:val="el" w:eastAsia="el"/>
        </w:rPr>
      </w:pPr>
      <w:r>
        <w:rPr>
          <w:lang w:val="el" w:eastAsia="el"/>
        </w:rPr>
        <w:t>Ι. κατά τον οποίο έγινε η σχετική πίστωση του λογαριασμού του προμηθευτή στα βιβλία του υπόχρεου, εφόσον τηρεί βιβλία ή από τη λήψη του σχετικού παραστατικού και το αργότερο μέχρι την έγκριση του απαιτούμενου συναλλάγματος από τη μεσολαβούσα Τράπεζα ή την αποστολή του σχετικού εμβάσματος ή την καταβολή της οφειλής ή</w:t>
      </w:r>
    </w:p>
    <w:p>
      <w:pPr>
        <w:spacing w:before="240" w:after="240"/>
        <w:rPr>
          <w:lang w:val="el" w:eastAsia="el"/>
        </w:rPr>
      </w:pPr>
      <w:r>
        <w:rPr>
          <w:lang w:val="el" w:eastAsia="el"/>
        </w:rPr>
        <w:t>II. έκδοσης του φορολογικού στοιχείου,</w:t>
      </w:r>
    </w:p>
    <w:p>
      <w:pPr>
        <w:spacing w:before="240" w:after="240"/>
        <w:rPr>
          <w:lang w:val="el" w:eastAsia="el"/>
        </w:rPr>
      </w:pPr>
      <w:r>
        <w:rPr>
          <w:lang w:val="el" w:eastAsia="el"/>
        </w:rPr>
        <w:t>στις ακόλουθες περιπτώσεις της παραγράφου αυτής :</w:t>
      </w:r>
    </w:p>
    <w:p>
      <w:pPr>
        <w:spacing w:before="240" w:after="240"/>
        <w:rPr>
          <w:lang w:val="el" w:eastAsia="el"/>
        </w:rPr>
      </w:pPr>
      <w:r>
        <w:rPr>
          <w:lang w:val="el" w:eastAsia="el"/>
        </w:rPr>
        <w:t xml:space="preserve">α).(…)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υποκείμενοι στο φόρο των οποίων η επιχείρηση έχει τεθεί σε αδράνεια ή αναστολή εργασιών, στην περίπτωση πώλησης παγίου αποδίδουν τον ΦΠΑ που αναλογεί στη συναλλαγή αυτή με έκτακτη περιοδική δήλωση,</w:t>
      </w:r>
    </w:p>
    <w:p>
      <w:pPr>
        <w:pStyle w:val="StructureList1"/>
        <w:spacing w:before="120" w:after="0"/>
        <w:rPr>
          <w:lang w:val="el" w:eastAsia="el"/>
        </w:rPr>
      </w:pPr>
      <w:r>
        <w:rPr>
          <w:lang w:val="el" w:eastAsia="el"/>
        </w:rPr>
        <w:t>γ)</w:t>
      </w:r>
      <w:r>
        <w:rPr>
          <w:lang w:val="en" w:eastAsia="en"/>
        </w:rPr>
        <w:tab/>
      </w:r>
      <w:r>
        <w:rPr>
          <w:lang w:val="el" w:eastAsia="el"/>
        </w:rPr>
        <w:t>τα λοιπά πρόσωπα (πχ ιδιώτες) οι οποίοι καθίστανται υπόχρεοι στο φόρο ( άρθρ.35 Ν.2859/2000 ) και οι εκμεταλλευτές ΕΔΧ αυτοκινήτων (ΤΑΞΙ), όταν βάσει συμφωνίας αναλαμβάνουν την μεταφορά προσώπων για την οποία εκδίδουν τιμολόγια παροχής υπηρεσιών, αποδίδουν το Φ.Π.Α, με έκτακτη περιοδική δήλωση με το έντυπο 050-ΦΠΑ Φ2 ΤΑΧIS,</w:t>
      </w:r>
    </w:p>
    <w:p>
      <w:pPr>
        <w:pStyle w:val="StructureList1"/>
        <w:spacing w:before="120" w:after="0"/>
        <w:rPr>
          <w:lang w:val="el" w:eastAsia="el"/>
        </w:rPr>
      </w:pPr>
      <w:r>
        <w:rPr>
          <w:lang w:val="el" w:eastAsia="el"/>
        </w:rPr>
        <w:t>δ)</w:t>
      </w:r>
      <w:r>
        <w:rPr>
          <w:lang w:val="en" w:eastAsia="en"/>
        </w:rPr>
        <w:tab/>
      </w:r>
      <w:r>
        <w:rPr>
          <w:lang w:val="el" w:eastAsia="el"/>
        </w:rPr>
        <w:t>σε οποιαδήποτε άλλη περίπτωση δημιουργηθεί υποχρέωση απόδοσης του φόρου και δεν ορίζεται άλλος χρόνος υποβολής της έκτακτης περιοδικής δήλωσης</w:t>
      </w:r>
    </w:p>
    <w:p>
      <w:pPr>
        <w:pStyle w:val="MainText"/>
        <w:spacing w:before="120" w:after="0"/>
        <w:rPr>
          <w:lang w:val="el" w:eastAsia="el"/>
        </w:rPr>
      </w:pPr>
      <w:r>
        <w:rPr>
          <w:b/>
          <w:bCs/>
          <w:lang w:val="el" w:eastAsia="el"/>
        </w:rPr>
        <w:t>3.</w:t>
      </w:r>
      <w:r>
        <w:rPr>
          <w:lang w:val="el" w:eastAsia="el"/>
        </w:rPr>
        <w:t xml:space="preserve"> Αν υπόχρεος για την καταβολή του φόρου είναι το Δημόσιο, οι Δήμοι, οι Κοινότητες, τα Ανώτερα ή Ανώτατα Εκπαιδευτικά Ιδρύματα και λοιπά Ν.Π.Δ.Δ. που εξοφλούν τις υποχρεώσεις τους μετά από έγκριση των σχετικών ενταλμάτων από τον αρμόδιο Επίτροπο του Ελεγκτικού Συνεδρίου, τα οποία δεν εμπίπτουν στην περίπτωση β' της παραγρ.1 του άρθρου 1 της Α.Υ.Ο 1002414/204/25/ΠΟΛ.1005/8.1.1993 , όπως ισχύει, καταβάλλουν τον οφειλόμενο φόρο στην αρμόδια ΔΟΥ με έκτακτη περιοδική δήλωση, είτε κατά την απόδοση του σχετικού εντάλματος πληρωμής , είτε κατά ημερολογιακό τρίμηνο και μέσα στο πρώτο δεκαπενθήμερο του τέταρτου μήνα , με βάση τα συνολικά ποσά που έχουν εγκριθεί και έχουν εμβασθεί κατά τη χρονική περίοδο του τριμήνου, σύμφωνα με τη διαδικασία της παραγρ.4 του άρθρου 3 της παραπάνω Α.Υ.Ο.</w:t>
      </w:r>
    </w:p>
    <w:p>
      <w:pPr>
        <w:spacing w:before="240" w:after="240"/>
        <w:rPr>
          <w:lang w:val="el" w:eastAsia="el"/>
        </w:rPr>
      </w:pPr>
      <w:r>
        <w:rPr>
          <w:lang w:val="el" w:eastAsia="el"/>
        </w:rPr>
        <w:t>Σε όσες περιπτώσεις τα πρόσωπα αυτά ενεργούν διακανονισμό της αξίας του αγαθού που εισάγουν (προέμβασμα), πριν από την παραλαβή του αγαθού από το Τελωνείο (τελωνισμό), η καταβολή του φόρου ενεργείται μεμονωμένα, με τη διαδικασία της προηγούμενης παραγράφου.</w:t>
      </w:r>
    </w:p>
    <w:p>
      <w:pPr>
        <w:pStyle w:val="MainText"/>
        <w:spacing w:before="120" w:after="0"/>
        <w:rPr>
          <w:lang w:val="el" w:eastAsia="el"/>
        </w:rPr>
      </w:pPr>
      <w:r>
        <w:rPr>
          <w:b/>
          <w:bCs/>
          <w:lang w:val="el" w:eastAsia="el"/>
        </w:rPr>
        <w:t>4.</w:t>
      </w:r>
      <w:r>
        <w:rPr>
          <w:lang w:val="el" w:eastAsia="el"/>
        </w:rPr>
        <w:t xml:space="preserve"> Έκτακτη περιοδική δήλωση υποβάλλεται κατά τον χρόνο που ορίζεται από τις οικείες αποφάσεις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την οριστικοποίηση της απαλλαγής παράδοσης ή εισαγωγής υλικών και αντικειμένων που προορίζονται για την κατασκευή ή μετασκευή σκαφών σε περίπτωση αχρησιμοποίητων υλικών, σε ένα μήνα από την επίδοση της έκθεσης επιμέτρησης, ταυτόχρονα με την εκκαθάριση , σύμφωνα με όσα προβλέπονται στις παραγρ. 1-3 του άρθρου 23 της ΑΥΟ Π.8271/4879/ ΠΟΛ.366/18.12.1987 .</w:t>
      </w:r>
    </w:p>
    <w:p>
      <w:pPr>
        <w:pStyle w:val="StructureList1"/>
        <w:spacing w:before="120" w:after="0"/>
        <w:rPr>
          <w:lang w:val="el" w:eastAsia="el"/>
        </w:rPr>
      </w:pPr>
      <w:r>
        <w:rPr>
          <w:lang w:val="el" w:eastAsia="el"/>
        </w:rPr>
        <w:t>β)</w:t>
      </w:r>
      <w:r>
        <w:rPr>
          <w:lang w:val="en" w:eastAsia="en"/>
        </w:rPr>
        <w:tab/>
      </w:r>
      <w:r>
        <w:rPr>
          <w:lang w:val="el" w:eastAsia="el"/>
        </w:rPr>
        <w:t>για την οριστικοποίηση της απαλλαγής παράδοσης ειδών και πάσης φύσεως υλικών προς εργολάβο κατασκευής υλικών συντήρησης ή επισκευής έργου κοινού αμυντικού προγράμματος (ΝΑΤΟ), σε περίπτωση αδιάθετων υλικών, μέσα σε 20 ημέρες από τη γνωστοποίηση από την εποπτεύουσα το έργο αρχή, των υλικών και ειδών που δεν χρησιμοποιήθηκαν , σύμφωνα με όσα προβλέπονται στην παραγρ.3 του άρθρου 5 της ΑΥΟ Π.4056/3029/ ΠΟΛ.186/1987 ,</w:t>
      </w:r>
    </w:p>
    <w:p>
      <w:pPr>
        <w:pStyle w:val="StructureList1"/>
        <w:spacing w:before="120" w:after="0"/>
        <w:rPr>
          <w:lang w:val="el" w:eastAsia="el"/>
        </w:rPr>
      </w:pPr>
      <w:r>
        <w:rPr>
          <w:lang w:val="el" w:eastAsia="el"/>
        </w:rPr>
        <w:t>γ)</w:t>
      </w:r>
      <w:r>
        <w:rPr>
          <w:lang w:val="en" w:eastAsia="en"/>
        </w:rPr>
        <w:tab/>
      </w:r>
      <w:r>
        <w:rPr>
          <w:lang w:val="el" w:eastAsia="el"/>
        </w:rPr>
        <w:t>στην περίπτωση λήξης της προθεσμίας εξαγωγής ή ενδοκοινοτικής παράδοσης αγαθών που αγοράστηκαν χωρίς ΦΠΑ, σε 6 μήνες από την αγορά ή εισαγωγή ή σε 8 μήνες με απόφαση του Προϊσταμένου Δ.Ο.Υ., ή σε 16 μήνες με κοινή απόφαση Προϊσταμένου. Δ.Ο.Υ ., Επόπτη Ελέγχου και Επιθεωρητή</w:t>
      </w:r>
    </w:p>
    <w:p>
      <w:pPr>
        <w:spacing w:before="240" w:after="240"/>
        <w:rPr>
          <w:lang w:val="el" w:eastAsia="el"/>
        </w:rPr>
      </w:pPr>
      <w:r>
        <w:rPr>
          <w:lang w:val="el" w:eastAsia="el"/>
        </w:rPr>
        <w:t>Δ.Ο.Υ., σύμφωνα με όσα προβλέπονται στην ΑΥΟ 1103551/8478/Α0014/ ΠΟΛ.1262/2.8.1993 , όπως συμπληρώθηκε με τις 1017949/693/165/0014/ ΠΟΛ.1075/13.3.1995 και 1058757/ 2754/791/0014/ ΠΟΛ.1155/6.6.1995 ΑΥΟ , καθώς και με όσα ορίζονται στη ΑΥΟ Π.6788/642/1986,</w:t>
      </w:r>
    </w:p>
    <w:p>
      <w:pPr>
        <w:pStyle w:val="StructureList1"/>
        <w:spacing w:before="120" w:after="0"/>
        <w:rPr>
          <w:lang w:val="el" w:eastAsia="el"/>
        </w:rPr>
      </w:pPr>
      <w:r>
        <w:rPr>
          <w:lang w:val="el" w:eastAsia="el"/>
        </w:rPr>
        <w:t>δ)</w:t>
      </w:r>
      <w:r>
        <w:rPr>
          <w:lang w:val="en" w:eastAsia="en"/>
        </w:rPr>
        <w:tab/>
      </w:r>
      <w:r>
        <w:rPr>
          <w:lang w:val="el" w:eastAsia="el"/>
        </w:rPr>
        <w:t>στην περίπτωση εξόδου αγαθών από φορολογική αποθήκη του άρθρου 26 του Ν.2859/2000 προς εγχώρια ανάλωση, πριν την έξοδο των αγαθών, σύμφωνα με όσα προβλέπονται στο άρθρο 16 της ΑΥΟ 1000887/2569/3/ ΠΟΛ.1004/2.1.1997 .</w:t>
      </w:r>
    </w:p>
    <w:p>
      <w:pPr>
        <w:pStyle w:val="StructureList1"/>
        <w:spacing w:before="120" w:after="0"/>
        <w:rPr>
          <w:lang w:val="el" w:eastAsia="el"/>
        </w:rPr>
      </w:pPr>
      <w:r>
        <w:rPr>
          <w:lang w:val="el" w:eastAsia="el"/>
        </w:rPr>
        <w:t>ε)</w:t>
      </w:r>
      <w:r>
        <w:rPr>
          <w:lang w:val="en" w:eastAsia="en"/>
        </w:rPr>
        <w:tab/>
      </w:r>
      <w:r>
        <w:rPr>
          <w:lang w:val="el" w:eastAsia="el"/>
        </w:rPr>
        <w:t>στην περίπτωση μεταβίβασης αυτοκινήτων οχημάτων, μοτοσικλετών και μοτοποδηλάτων, όταν χρησιμοποιούνται ως πάγια της επιχείρησης, στις περιπτώσεις που υπόκεινται σε ΦΠΑ, πριν από την μεταβίβαση της άδειας, σύμφωνα με την ΕΔΥΟ Σ.420/56/ ΠΟΛ.28/1987 και εφόσον για τη μεταβίβαση αυτή, ο πωλητής δεν εκδίδει τιμολόγιο ή απόδειξη λιανικής.</w:t>
      </w:r>
    </w:p>
    <w:p>
      <w:pPr>
        <w:pStyle w:val="StructureList1"/>
        <w:spacing w:before="120" w:after="0"/>
        <w:rPr>
          <w:lang w:val="el" w:eastAsia="el"/>
        </w:rPr>
      </w:pPr>
      <w:r>
        <w:rPr>
          <w:lang w:val="el" w:eastAsia="el"/>
        </w:rPr>
        <w:t>στ)</w:t>
      </w:r>
      <w:r>
        <w:rPr>
          <w:lang w:val="en" w:eastAsia="en"/>
        </w:rPr>
        <w:tab/>
      </w:r>
      <w:r>
        <w:rPr>
          <w:lang w:val="el" w:eastAsia="el"/>
        </w:rPr>
        <w:t>στην περίπτωση μεταβίβασης αγαθών κατά την διαδικασία του πλειστηριασμού, μέχρι την παράδοση των εκπλειστηριασθέντων στον υπερθεματιστή και πριν την έκδοση της περίληψης της κατακυρωτικής έκθεσης, σύμφωνα με όσα προβλέπονται στην ΕΔΥΟ 1070540/2601/ 531 / ΠΟΛ.1075/30.3.1990 και εφόσον για τη μεταβίβαση αυτή, ο πωλητής δεν εκδίδει τιμολόγιο ή απόδειξη λιανικής κατά περίπτωση.</w:t>
      </w:r>
    </w:p>
    <w:p>
      <w:pPr>
        <w:pStyle w:val="StructureList1"/>
        <w:spacing w:before="120" w:after="0"/>
        <w:rPr>
          <w:lang w:val="el" w:eastAsia="el"/>
        </w:rPr>
      </w:pPr>
      <w:r>
        <w:rPr>
          <w:lang w:val="el" w:eastAsia="el"/>
        </w:rPr>
        <w:t>ζ)</w:t>
      </w:r>
      <w:r>
        <w:rPr>
          <w:lang w:val="en" w:eastAsia="en"/>
        </w:rPr>
        <w:tab/>
      </w:r>
      <w:r>
        <w:rPr>
          <w:lang w:val="el" w:eastAsia="el"/>
        </w:rPr>
        <w:t>στην περίπτωση των ενταγμένων στα ειδικά καθεστώτα των εκμεταλλευτών Επιβατηγών Δημοσίας Χρήσεως (ΕΔΧ), σύμφωνα με όσα προβλέπονται στην εκάστοτε εκδιδόμενη ΑΥΟ.</w:t>
      </w:r>
    </w:p>
    <w:p>
      <w:pPr>
        <w:pStyle w:val="StructureList1"/>
        <w:spacing w:before="120" w:after="0"/>
        <w:rPr>
          <w:lang w:val="el" w:eastAsia="el"/>
        </w:rPr>
      </w:pPr>
      <w:r>
        <w:rPr>
          <w:lang w:val="el" w:eastAsia="el"/>
        </w:rPr>
        <w:t>η)</w:t>
      </w:r>
      <w:r>
        <w:rPr>
          <w:lang w:val="en" w:eastAsia="en"/>
        </w:rPr>
        <w:tab/>
      </w:r>
      <w:r>
        <w:rPr>
          <w:lang w:val="el" w:eastAsia="el"/>
        </w:rPr>
        <w:t>στην περίπτωση των ενταγμένων στο ειδικό καθεστώς αλιέων σύμφωνα με όσα προβλέπονται στην ΑΥΟ 1145339/6602/140/Ε0014/ ΠΟΛ.1320/30.12.1998 .</w:t>
      </w:r>
    </w:p>
    <w:p>
      <w:pPr>
        <w:pStyle w:val="Heading6"/>
        <w:spacing w:before="240" w:after="240"/>
        <w:rPr>
          <w:lang w:val="el" w:eastAsia="el"/>
        </w:rPr>
      </w:pPr>
      <w:r>
        <w:rPr>
          <w:rStyle w:val="article-num"/>
          <w:lang w:val="el" w:eastAsia="el"/>
        </w:rPr>
        <w:t>Αρθρο 4</w:t>
      </w:r>
    </w:p>
    <w:p>
      <w:pPr>
        <w:pStyle w:val="MainText"/>
        <w:spacing w:before="120" w:after="0"/>
        <w:rPr>
          <w:lang w:val="el" w:eastAsia="el"/>
        </w:rPr>
      </w:pPr>
      <w:r>
        <w:rPr>
          <w:b/>
          <w:bCs/>
          <w:lang w:val="el" w:eastAsia="el"/>
        </w:rPr>
        <w:t>1.</w:t>
      </w:r>
      <w:r>
        <w:rPr>
          <w:lang w:val="el" w:eastAsia="el"/>
        </w:rPr>
        <w:t xml:space="preserve"> (...)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Για τις ανάγκες του άρθρου 4 της Α.Υ.0. 1002414/204/25/ ΠΟΛ.1005/8.1.1993 όπως ισχύει μετά την Α .Υ.Ο. 1042666/3595/Α0014/ ΠΟΛ.1115/23.3.1993 προσκομίζεται στη μεσολαβούσα Τράπεζα το νόμιμα θεωρημένο αντίτυπο που παραδίδεται στον υπόχρεο, φωτοτυπία του οποίου τίθεται στον οικείο φάκελο κατά τη χορήγηση του συναλλάγματος. Στην περίπτωση που η δήλωση έχει υποβληθεί ηλεκτρονικά ως</w:t>
      </w:r>
    </w:p>
    <w:p>
      <w:pPr>
        <w:spacing w:before="240" w:after="240"/>
        <w:rPr>
          <w:lang w:val="el" w:eastAsia="el"/>
        </w:rPr>
      </w:pPr>
      <w:r>
        <w:rPr>
          <w:lang w:val="el" w:eastAsia="el"/>
        </w:rPr>
        <w:t>αντίγραφο της υποβληθείσας δήλωσης θεωρείται η εκτύπωση της μέσω του συστήματος ΤΑΧISnet (σύμφωνα με όσα ορίζονται στο άρθρο 2 της ΑΥΟ ΠΟΛ.1055/2.3.2001 ) .</w:t>
      </w:r>
    </w:p>
    <w:p>
      <w:pPr>
        <w:spacing w:before="240" w:after="240"/>
        <w:rPr>
          <w:lang w:val="el" w:eastAsia="el"/>
        </w:rPr>
      </w:pPr>
      <w:r>
        <w:rPr>
          <w:lang w:val="el" w:eastAsia="el"/>
        </w:rPr>
        <w:t>Για τις ανάγκες του άρθρου 5 της Α.Υ.0. ΠΟΛ.1005/8.1.1993 , υποβάλλεται ένα επιπλέον πρόσθετο αντίτυπο της δήλωσης με την ένδειξη «ΑΝΤΙΓΡΑΦΟ ΓΙΑ ΤΟ ΤΕΛΩΝΕΙΟ ΕΙΣΑΓΩΓΗΣ», που θεωρείται από τη ΔΟΥ και με φωτοτυπία του διπλοτύπου είσπραξης προσκομίζεται στην Τελωνειακή Αρχή.</w:t>
      </w:r>
    </w:p>
    <w:p>
      <w:pPr>
        <w:pStyle w:val="Heading6"/>
        <w:spacing w:before="240" w:after="240"/>
        <w:rPr>
          <w:lang w:val="el" w:eastAsia="el"/>
        </w:rPr>
      </w:pPr>
      <w:r>
        <w:rPr>
          <w:lang w:val="el" w:eastAsia="el"/>
        </w:rPr>
        <w:t xml:space="preserve">Αρθρο 5. </w:t>
      </w:r>
    </w:p>
    <w:p>
      <w:pPr>
        <w:pStyle w:val="Heading6"/>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lang w:val="el" w:eastAsia="el"/>
        </w:rPr>
        <w:t xml:space="preserve">Αρθρο 6. </w:t>
      </w:r>
    </w:p>
    <w:p>
      <w:pPr>
        <w:pStyle w:val="Heading6"/>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lang w:val="el" w:eastAsia="el"/>
        </w:rPr>
        <w:t xml:space="preserve">Αρθρο 7. </w:t>
      </w:r>
    </w:p>
    <w:p>
      <w:pPr>
        <w:pStyle w:val="Heading6"/>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10"/>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ΠΟΛ.1267/2011 23.01.2012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ΠΟΛ.1267/2011 23.01.2012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ΠΟΛ.1267/2011 23.01.2012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ΠΟΛ.1267/2011 23.01.2012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ΠΟΛ.1267/2011 23.01.2012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ΠΟΛ.1267/2011 23.01.2012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ΠΟΛ.1267/2011 23.01.2012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ΠΟΛ.1267/2011 23.01.2012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ΠΟΛ.1267/2011 23.01.2012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