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Αριθ. Φ.293/197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Τροποποίηση της Φ.639/447/14.8.2002 απόφασης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Υπουργού Οικονομίας και Οικονομικών (ΦΕΚ 1109/Β/ 23.8.2002) όπως έχει τροποποιηθεί και ισχύει.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ΟΥΠΟΥΡΓΟΣΟΙΚΟΝΟΜΙΑΣ ΚΑΙ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63 του Ν. 2960/01 «Εθνικός Τελωνειακός Κώδικας» (ΦΕΚ 265 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Φ639/447/14.8.2002, Φ.919/636/ 9.12.2002 και Φ. 161/98/24.2.2003 ΑΥΟ σχετικά με τη σύσταση και λειτουργία φορολογικών αποθηκών.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άρθρου 29 Α' του Ν. 1558/1985 «Κυβέρνηση και Κυβερνητικά όργανα» Φ.Ε.Κ.137 Α'), όπως προστέθηκε με το άρθρο 27 του Ν. 2081/92 ( Φ.Ε.Κ. 154 A') και τροποποιήθηκε με το άρθρο 1 παρ. 2 α του Ν. 2469/97 (Φ.Ε.Κ. 38Α').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1100383/1330/Α0006/31.10.2001 απόφαση του Υπουργού Οικονομικών «Καθορισμός Αρμοδιοτήτων του Υφυπουργού Οικονομικών» (ΦΕΚ1485 Β).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ανάγκη καθορισμού μεγίστης χωρητικότητας των δεξαμενόπλοιων - σλεπιών που λειτουργούν ως φορολογικές αποθήκες.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Ότι από τις διατάξεις της παρούσας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To πρώτο εδάφιο της περίπτωσης της παραγράφου 1 του άρθρου 3 της Φ.639/447/14.8.2002 Α.Υ.Ο. αντικαθίσταται ως εξής: «Τα δεξαμενόπλοια - σλέπια, μέγιστης χωρητικότητας μέχρι 2.500 κυβικά μέτρα (m3), εντός των οποίων αποθηκεύονται πετρελαιοειδή προϊόντα».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ισχύει από της δημοσιεύσεως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12 Μαΐου 2003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</w:t>
      </w:r>
      <w:r>
        <w:rPr>
          <w:b/>
          <w:bCs/>
          <w:lang w:val="el" w:eastAsia="el"/>
        </w:rPr>
        <w:t>ΑΠ. ΦΩΤΙΑΔΗΣ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