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 xml:space="preserve">Αριθ. </w:t>
      </w:r>
      <w:r>
        <w:rPr>
          <w:i/>
          <w:iCs/>
          <w:u w:val="single"/>
          <w:lang w:val="el" w:eastAsia="el"/>
        </w:rPr>
        <w:t>Ε.2124/686/Γ0034</w:t>
      </w:r>
    </w:p>
    <w:p>
      <w:pPr>
        <w:spacing w:before="240" w:after="240"/>
        <w:rPr>
          <w:lang w:val="el" w:eastAsia="el"/>
        </w:rPr>
      </w:pPr>
      <w:r>
        <w:rPr>
          <w:lang w:val="el" w:eastAsia="el"/>
        </w:rPr>
        <w:t>Τροποποίηση των Ε.1000/300/Γ0034/7.5.2001 (ΦΕΚ. 1122/B/29.8.2001) και Ε. 1001/301/Γ0034/20.5.2002 (ΦΕΚ. 670/B/29.5.2002) υπουργικών αποφάσεων.</w:t>
      </w:r>
    </w:p>
    <w:p>
      <w:pPr>
        <w:spacing w:before="240" w:after="240"/>
        <w:rPr>
          <w:lang w:val="el" w:eastAsia="el"/>
        </w:rPr>
      </w:pPr>
      <w:r>
        <w:rPr>
          <w:b/>
          <w:bCs/>
          <w:lang w:val="el" w:eastAsia="el"/>
        </w:rPr>
        <w:t>Ο ΥΠΟΥΡΓΟΣΟΙΚΟΝΟΜΙΑΣ ΚΑΙ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Π.Δ. 284/1988 «περί διαρθρώσεως της Κεντρικής Υπηρεσίας του Υπουργείου Οικονομικών.</w:t>
      </w:r>
    </w:p>
    <w:p>
      <w:pPr>
        <w:spacing w:before="240" w:after="240"/>
        <w:rPr>
          <w:lang w:val="el" w:eastAsia="el"/>
        </w:rPr>
      </w:pPr>
      <w:r>
        <w:rPr>
          <w:lang w:val="el" w:eastAsia="el"/>
        </w:rPr>
        <w:t>2. Τις διατάξεις του Π.Δ. 551/88 «περί οργάνωσης των Οικονομικών Υπηρεσιών των Νομαρχιών της χώρας».</w:t>
      </w:r>
    </w:p>
    <w:p>
      <w:pPr>
        <w:spacing w:before="240" w:after="240"/>
        <w:rPr>
          <w:lang w:val="el" w:eastAsia="el"/>
        </w:rPr>
      </w:pPr>
      <w:r>
        <w:rPr>
          <w:lang w:val="el" w:eastAsia="el"/>
        </w:rPr>
        <w:t>3. Τις διατάξεις του Κανονισμού 2913/92 «περί θεσπίσεως Κοινοτικού Τελωνειακού Κώδικα και του Κανονισμού 2454/93 «περί διατάξεων εφαρμογής του Κοινοτικού Τελωνειακού Κώδικα».</w:t>
      </w:r>
    </w:p>
    <w:p>
      <w:pPr>
        <w:spacing w:before="240" w:after="240"/>
        <w:rPr>
          <w:lang w:val="el" w:eastAsia="el"/>
        </w:rPr>
      </w:pPr>
      <w:r>
        <w:rPr>
          <w:lang w:val="el" w:eastAsia="el"/>
        </w:rPr>
        <w:t>4. Τις διατάξεις του άρθρου 40 του Π.Δ. 127/1989 «περί κανονισμού δικαιωμάτων και καθηκόντων των τελωνειακών υπαλλήλων και της λειτουργίας των Τελωνειακών αρχών του Υπουργείου Οικονομικών» όπως όλες οι προαναφερόμενες διατάξεις τροποποιήθηκαν και ισχύουν μέχρι σήμερα.</w:t>
      </w:r>
    </w:p>
    <w:p>
      <w:pPr>
        <w:spacing w:before="240" w:after="240"/>
        <w:rPr>
          <w:lang w:val="el" w:eastAsia="el"/>
        </w:rPr>
      </w:pPr>
      <w:r>
        <w:rPr>
          <w:lang w:val="el" w:eastAsia="el"/>
        </w:rPr>
        <w:t>5. Τις διατάξεις του Π.Δ. 1/1994 «περί σύστασης, αναβάθμισης και αναδιάρθρωσης των Τελωνειακών αρχών».</w:t>
      </w:r>
    </w:p>
    <w:p>
      <w:pPr>
        <w:spacing w:before="240" w:after="240"/>
        <w:rPr>
          <w:lang w:val="el" w:eastAsia="el"/>
        </w:rPr>
      </w:pPr>
      <w:r>
        <w:rPr>
          <w:lang w:val="el" w:eastAsia="el"/>
        </w:rPr>
        <w:t>6. Τις διατάξεις των άρθρων 38, 115 και 144 παρ. 3δ του Ν.2960/2001(ΦΕΚ 265/Α/2001) «περί Εθνικού Τελωνειακού Κώδικα», που εφαρμόζεται από 1ης Ιανουάριου 2002.</w:t>
      </w:r>
    </w:p>
    <w:p>
      <w:pPr>
        <w:spacing w:before="240" w:after="240"/>
        <w:rPr>
          <w:lang w:val="el" w:eastAsia="el"/>
        </w:rPr>
      </w:pPr>
      <w:r>
        <w:rPr>
          <w:lang w:val="el" w:eastAsia="el"/>
        </w:rPr>
        <w:t>7. Τις Ε.1000/300/Γ0034/7.5.2001 Α.Υ.Ο. (ΦΕΚ.1122/Β/ 29.8.2001) κάι Ε.1001/301/Γ0034/20.5.2002 Α.Υ.Ο. (ΦΕΚ. 670/B/29.5.2002), «περί κάτάργησης της χρήσης των μηχάνισμών μολυβδοσφράγισης κάι υιοθέτησης σύγχρονων τρόπων κάι μέσων σφράγισης με μετάλλικές άριθμημένες σφράγίδες που κουμπώνουν με άσφάλειά, με ημερομηνίά ένάρξης εφάρμογής του νέου τρόπου σφράγισης την 30.5.2002 .»</w:t>
      </w:r>
    </w:p>
    <w:p>
      <w:pPr>
        <w:spacing w:before="240" w:after="240"/>
        <w:rPr>
          <w:lang w:val="el" w:eastAsia="el"/>
        </w:rPr>
      </w:pPr>
      <w:r>
        <w:rPr>
          <w:lang w:val="el" w:eastAsia="el"/>
        </w:rPr>
        <w:t>8. Την 1075722/13472/0005/24-9-2002 Απόφάση προμήθειάς μετάλλικών άριθμημένων σφράγίδων, γιά την κάλυψη των υπηρεσιάκών άνάγκών των Τελωνειάκών άρχών της χώράς.</w:t>
      </w:r>
    </w:p>
    <w:p>
      <w:pPr>
        <w:spacing w:before="240" w:after="240"/>
        <w:rPr>
          <w:lang w:val="el" w:eastAsia="el"/>
        </w:rPr>
      </w:pPr>
      <w:r>
        <w:rPr>
          <w:lang w:val="el" w:eastAsia="el"/>
        </w:rPr>
        <w:t>9. Την άμεση κάλυψη των υπηρεσιακών αναγκών των Τελωνειακών αρχών, των σπσι'ων εξαντλήθηκαν τα απσ- Θέματα των μεταλλικών σφραγίδων ταυ τύπσυ κυλινδρικής κεφαλής με έλασμα σταθερσύ μήκσυς και πλάτσυς, πσυ χρησιμσπσισύνται για τη σφράγιση των εμπσρευματσκιβωτίων (containers), των φορτηγών διεθνών οδικών μεταφορών και των φορτηγών και εμπορευματοκιβωτίων που μεταφέρουν εμπορεύματα με το καθεστώς (TIR).</w:t>
      </w:r>
    </w:p>
    <w:p>
      <w:pPr>
        <w:spacing w:before="240" w:after="240"/>
        <w:rPr>
          <w:lang w:val="el" w:eastAsia="el"/>
        </w:rPr>
      </w:pPr>
      <w:r>
        <w:rPr>
          <w:lang w:val="el" w:eastAsia="el"/>
        </w:rPr>
        <w:t>10. Τις διατάξεις του άρθρου 19 του Ν.2096/52 (ΦΕΚ 113/A/52) «Επιτρέπεται εις τον Υπουργάν των Οικονομικών ϋπως δια γενικών ή ειδικών διαταγών του ρυθμίζει, κατά παρέκκλισιν των ισχυουσών διατάξεων, ζητήματα ανακύπτοντα κατά την εισαγωγήν, μεταφάρτωσιν, μεταφοράν ή εξαγωγήν εμπορευμάτων και εγχωρίων προϊάντων επί τω σκοπώ της διευκολύνσεως της ταχείας αυτών διακινήσεως, λαμβανομένων διασφαλιστικών των συμφεράντων του Δημοσίου μέτρων».</w:t>
      </w:r>
    </w:p>
    <w:p>
      <w:pPr>
        <w:spacing w:before="240" w:after="240"/>
        <w:rPr>
          <w:lang w:val="el" w:eastAsia="el"/>
        </w:rPr>
      </w:pPr>
      <w:r>
        <w:rPr>
          <w:lang w:val="el" w:eastAsia="el"/>
        </w:rPr>
        <w:t>11. Την 1065956/863/A0006/15.07.2003 (ΦΕΚ 985/Β/ 16.7.2003) κοινή απάφαση του Πρωθυπουργού και του Υπουργού Οικονομίας και Οικονομικών «περί καθορισμού αρμοδιοτήτων των Υφυπουργών Οικονομίας και Οικονομικών».</w:t>
      </w:r>
    </w:p>
    <w:p>
      <w:pPr>
        <w:spacing w:before="240" w:after="240"/>
        <w:rPr>
          <w:lang w:val="el" w:eastAsia="el"/>
        </w:rPr>
      </w:pPr>
      <w:r>
        <w:rPr>
          <w:lang w:val="el" w:eastAsia="el"/>
        </w:rPr>
        <w:t>12. Το γεγονάς άτι, απά τις διατάξεις της παρούσας απάφασης δεν προκαλείται δαπάνη σε βάρος του Προϋπολογισμού Εξάδων, αποφασίζουμε:</w:t>
      </w:r>
    </w:p>
    <w:p>
      <w:pPr>
        <w:spacing w:before="240" w:after="240"/>
        <w:rPr>
          <w:lang w:val="el" w:eastAsia="el"/>
        </w:rPr>
      </w:pPr>
      <w:r>
        <w:rPr>
          <w:lang w:val="el" w:eastAsia="el"/>
        </w:rPr>
        <w:t>1. Εγκρίνουμε κατά παρέκκλιση των διατάξεων των Αποφάσεων Ε.1000 / 300 / Γ0034 / 7.5.2001 A.Y.O. (ΦΕΚ1122/Β/29.8.2001) και Ε.1001 / 301 / Γ0034 / 20.5.2002 A.Y.O. (ΦΕΚ. 670/Β/29.5.2002), τη χρησιμοποίηση των σφραγίδων των δύο (2) μεταλλικών πλακών (επιφανειών) που ενώνονται μεταξύ τους στη μία πλευρά και κουμπώνουν στην άλλη που χρησιμοποιούνται για άλες τις λοιπές Τελωνειακές σφραγίσεις υποκειμένων εμπορευμάτων και για τη σφράγιση των εμπορευματοκιβωτίων (containers), των φορτηγών διεθνών οδικών μεταφορών και των φορτηγών και εμπορευματοκιβωτίων που μεταφέρουν εμπορεύματα με το καθεστώς (TIR).</w:t>
      </w:r>
    </w:p>
    <w:p>
      <w:pPr>
        <w:spacing w:before="240" w:after="240"/>
        <w:rPr>
          <w:lang w:val="el" w:eastAsia="el"/>
        </w:rPr>
      </w:pPr>
      <w:r>
        <w:rPr>
          <w:lang w:val="el" w:eastAsia="el"/>
        </w:rPr>
        <w:t>2. Ορίζουμε την εφαρμογή της παρούσης απά τις Τελωνειακές αρχές, μάνο στη περίπτωση που εξαντληθούν τα αποθέματά τους σε σφραγίδες κυλινδρικής κεφαλής με έλασμα σταθερού μήκους και πλάτους, που χρησιμοποιούνται για τη σφράγιση των εμπορευματοκιβωτίων (containers), των φορτηγών διεθνών οδικών μεταφορών και των φορτηγών και εμπορευματοκιβωτίων που μεταφέρουν εμπορεύματα με το καθεστώς (TIR).</w:t>
      </w:r>
    </w:p>
    <w:p>
      <w:pPr>
        <w:spacing w:before="240" w:after="240"/>
        <w:rPr>
          <w:lang w:val="el" w:eastAsia="el"/>
        </w:rPr>
      </w:pPr>
      <w:r>
        <w:rPr>
          <w:lang w:val="el" w:eastAsia="el"/>
        </w:rPr>
        <w:t>3. Η ισχύς της παρούσης έχει εφαρμογή απά την ημερομηνία εξάντλησης των αποθεμάτων των σφραγίδων κυλινδρικής κεφαλής με έλασμα σταθερού μήκους και πλάτους, γεγονάς που θα προκύπτει απά τις διαχειρίσεις τάσο των Τελωνειακών Περιφερειών, άσο και των Τελωνειακών Αρχών χωρικής αρμοδιάτητάς τους και παρατείνεται μέχρι της οριστικής παραλαβής των υπό προμήθεια νέων σφραγίδων από όλες τις Τελωνειακές Αρχές.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 Αυγούστου 2003</w:t>
      </w:r>
    </w:p>
    <w:p>
      <w:pPr>
        <w:spacing w:before="240" w:after="240"/>
        <w:rPr>
          <w:lang w:val="el" w:eastAsia="el"/>
        </w:rPr>
      </w:pPr>
      <w:r>
        <w:rPr>
          <w:lang w:val="el" w:eastAsia="el"/>
        </w:rPr>
        <w:t>Ο ΥΦΥΠΟΥΡΓΟΣ</w:t>
      </w:r>
      <w:r>
        <w:rPr>
          <w:b/>
          <w:bCs/>
          <w:lang w:val="el" w:eastAsia="el"/>
        </w:rPr>
        <w:t>ΑΠΟΣΤΟΛΟΣ ΦΩΤΙΑΔΗΣ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