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i/>
          <w:iCs/>
          <w:u w:val="single"/>
          <w:lang w:val="el" w:eastAsia="el"/>
        </w:rPr>
        <w:t>Αριθ.</w:t>
      </w:r>
      <w:r>
        <w:rPr>
          <w:u w:val="single"/>
          <w:lang w:val="el" w:eastAsia="el"/>
        </w:rPr>
        <w:t xml:space="preserve"> Φ.111/49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Κάθορισμός πάράβόλου γιά προσδιορισμό της φορολογητέάς άξίάς γιά την επιβολή του τέλους τάξινόμησης μετάχειρισμένων επιβάτικών άυτοκινήτων με βάση την εμπορική τους άξια"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0 ΥΦΥΠ0ΥΡΓ0ΣΟΙΚΟΝΟΜΙΑΣ ΚΑΙ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Έχοντάς υπόψη τις διάτάξεις: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Της πάράγράφου 5 του άρθρου 126 του Ν. 2960/01 (ΦΕΚ 265/Α') όπως προστέθηκάν με τη πάράγράφο 7 του άρθρου 27 του Ν. 3156/2003 "Ομολογιάκά δάνειά, τιτλοποίηση άπάιτήσεων κάι άπάιτήσεων άπό άκίνητά κάι άλλες διάτάξεις" (ΦΕΚ 157/Α')" με τις οποίες κάθιερώνετάι πάράβολο γιά τον προσδιορισμό του τέλους τάξινόμησης με βάση τη φορολογητέά άξια που διάμορφώνετάι μετά άπό εκτίμηση της πράγμάτικής κάτάστάσης του μετάχειρισμένου επιβάτικού άυτοκινήτου.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Του άρθρου 31 του Ν. 1473/84 '' Μετάρρυθμίσεις στην άμεση κάι έμμεση φορολογία κάι άλλες διάτάξεις" (ΦΕΚ 127/Α') με τις οποίες πάρέχετάι η ευχέρειά όπως με κοινές άποφάσεις του Υπουργού των Οικονομικών κάι του κάτά περίπτωση άρμόδιου Υπουργού άνάπροσάρμόζοντάι ή κάτάργούντάι πάράβολά που έχουν επιβληθεί ή επιβάλλοντάι υπέρ του Δημοσίου ή τρίτων.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1065956/863/Α0006/2003 κοινή άπόφάση του Πρωθυπουργού κάι του Υπουργού Οικονομίας κάι Οικονομικών γιά τον κάθορισμό άρμοδιοτήτων των Υφυπουργών Οικονομίας κάι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Το γεγονός ότι από τις διατάξεις της απόφασης αυτής δεν προκαλείται δαπάνη σε βάρος του Κρατικού Προϋπολογισμού,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Ορίζουμε σε τριακόσια (300) ΕΥΡΩ το ποσό του παραβόλου για την υπαγωγή περιπτώσεων μεταχειρισμένων επιβατικών αυτοκινήτων στις ρυθμίσεις της παρ. 5 του άρθρου 126 του Ν. 2960/01.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απόφαση αυτή, που ισχύει από 1 Ιανουαρίου 2004,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27 Ιανουαρίου 2004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ΥΦΥΠΟΥΡΓΟΣΑΠ. ΦΩΤΙΑΔΗΣ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