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 xml:space="preserve">Αριθ. Ε </w:t>
      </w:r>
      <w:r>
        <w:rPr>
          <w:i/>
          <w:iCs/>
          <w:u w:val="single"/>
          <w:lang w:val="el" w:eastAsia="el"/>
        </w:rPr>
        <w:t>2101/757/Δ0034</w:t>
      </w:r>
    </w:p>
    <w:p>
      <w:pPr>
        <w:pStyle w:val="PreambelText"/>
        <w:spacing w:before="240" w:after="240"/>
        <w:rPr>
          <w:lang w:val="el" w:eastAsia="el"/>
        </w:rPr>
      </w:pPr>
      <w:r>
        <w:rPr>
          <w:lang w:val="el" w:eastAsia="el"/>
        </w:rPr>
        <w:t>Τροποποίηση της υπ’ αριθμ. Α.Υ.Ο. Τ6507/8127/22.12.2000 «Καθιέρωση Ολοκληρωμένου Πληροφοριακού Συστήματος Τελωνείων (Ο.Π.Σ.Τ.) και ειδικής διαδικασίας επαλήθευσης εμπορευμάτων και βεβαίωσης των αναλογουσών δασμοφορολογικών επιβαρύνσεων».</w:t>
      </w:r>
    </w:p>
    <w:p>
      <w:pPr>
        <w:pStyle w:val="enacting"/>
        <w:spacing w:before="120" w:after="0"/>
        <w:rPr>
          <w:lang w:val="el" w:eastAsia="el"/>
        </w:rPr>
      </w:pPr>
      <w:r>
        <w:rPr>
          <w:b/>
          <w:bCs/>
          <w:lang w:val="el" w:eastAsia="el"/>
        </w:rPr>
        <w:t>0 ΥΦΥΠ0ΥΡΓ0Σ</w:t>
      </w:r>
      <w:r>
        <w:rPr>
          <w:lang w:val="el" w:eastAsia="el"/>
        </w:rPr>
        <w:br/>
      </w:r>
      <w:r>
        <w:rPr>
          <w:b/>
          <w:bCs/>
          <w:lang w:val="el" w:eastAsia="el"/>
        </w:rPr>
        <w:t>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δευτέρου εδαφίου του άρθρου 32 του ν. 1828/ 1989 «Αναμόρφωση της φορολογίας εισοδήματος και άλλες διατάξεις» (ΦΕΚ 2/Α).</w:t>
      </w:r>
    </w:p>
    <w:p>
      <w:pPr>
        <w:pStyle w:val="StructureList1"/>
        <w:spacing w:before="120" w:after="0"/>
        <w:rPr>
          <w:lang w:val="el" w:eastAsia="el"/>
        </w:rPr>
      </w:pPr>
      <w:r>
        <w:rPr>
          <w:lang w:val="el" w:eastAsia="el"/>
        </w:rPr>
        <w:t>β)</w:t>
      </w:r>
      <w:r>
        <w:rPr>
          <w:lang w:val="en" w:eastAsia="en"/>
        </w:rPr>
        <w:tab/>
      </w:r>
      <w:r>
        <w:rPr>
          <w:lang w:val="el" w:eastAsia="el"/>
        </w:rPr>
        <w:t>Του άρθρου 3, του τελευταίου εδαφίου της παραγράφου 1 του άρθρου 11 και της παραγράφου 1 του άρθρου 24 του ν. 2960/2001 «Εθνικός Τελωνειακός Κώδικας» (ΦΕΚ 265/Α/ 22.11.2001).</w:t>
      </w:r>
    </w:p>
    <w:p>
      <w:pPr>
        <w:pStyle w:val="StructureList1"/>
        <w:spacing w:before="120" w:after="0"/>
        <w:rPr>
          <w:lang w:val="el" w:eastAsia="el"/>
        </w:rPr>
      </w:pPr>
      <w:r>
        <w:rPr>
          <w:lang w:val="el" w:eastAsia="el"/>
        </w:rPr>
        <w:t>γ)</w:t>
      </w:r>
      <w:r>
        <w:rPr>
          <w:lang w:val="en" w:eastAsia="en"/>
        </w:rPr>
        <w:tab/>
      </w:r>
      <w:r>
        <w:rPr>
          <w:lang w:val="el" w:eastAsia="el"/>
        </w:rPr>
        <w:t>Των άρθρων 61, 68 και 71 του Καν. (Ε.Ο.Κ) 2913/1992 «περί θεσπίσεως Κοινοτικού Τελωνειακού Κώδικα» και των άρθρων 222 έως 224, 247 και επόμενα του Καν. (Ε.Ο.Κ.) 2454/1993 «περί διατάξεων εφαρμογής του Κοινοτικού Τελωνειακού Κώδικα».</w:t>
      </w:r>
    </w:p>
    <w:p>
      <w:pPr>
        <w:pStyle w:val="StructureList1"/>
        <w:spacing w:before="120" w:after="0"/>
        <w:rPr>
          <w:lang w:val="el" w:eastAsia="el"/>
        </w:rPr>
      </w:pPr>
      <w:r>
        <w:rPr>
          <w:lang w:val="el" w:eastAsia="el"/>
        </w:rPr>
        <w:t>δ)</w:t>
      </w:r>
      <w:r>
        <w:rPr>
          <w:lang w:val="en" w:eastAsia="en"/>
        </w:rPr>
        <w:tab/>
      </w:r>
      <w:r>
        <w:rPr>
          <w:lang w:val="el" w:eastAsia="el"/>
        </w:rPr>
        <w:t>Του άρθρου 29Α του ν. 1558/1985 «Κυβέρνηση και Κυβερνητικά Όργανα» (ΦΕΚ 137/Α), όπως προστέθηκε με το άρθρο 27 του ν. 2081/1992 «Ρύθμιση του θεσμού των Επιμελητηρίων, τροποποίηση των διατάξεων του ν. 1712/ 1987 για τον εκσυγχρονισμό των επαγγελματικών οργανώσεων των εμπόρων, βιοτεχνών και λοιπών επαγγελματιών και άλλες διατάξεις» (ΦΕΚ 154/Α) και αντικαταστάθηκε με το άρθρο 1 του ν. 2469/1997 «Περιορισμός και βελτίωση της αποτελεσματικότητας των κρατικών δαπανών και άλλες διατάξεις» (ΦΕΚ 38/Α).</w:t>
      </w:r>
    </w:p>
    <w:p>
      <w:pPr>
        <w:pStyle w:val="StructureList1"/>
        <w:spacing w:before="120" w:after="0"/>
        <w:rPr>
          <w:lang w:val="el" w:eastAsia="el"/>
        </w:rPr>
      </w:pPr>
      <w:r>
        <w:rPr>
          <w:lang w:val="el" w:eastAsia="el"/>
        </w:rPr>
        <w:t>ε)</w:t>
      </w:r>
      <w:r>
        <w:rPr>
          <w:lang w:val="en" w:eastAsia="en"/>
        </w:rPr>
        <w:tab/>
      </w:r>
      <w:r>
        <w:rPr>
          <w:lang w:val="el" w:eastAsia="el"/>
        </w:rPr>
        <w:t>Την υπ’ αριθμ. 14650/ΔΙΟΕ 85/17.3.2004 (ΦΕΚ 519/Β) κοινή απόφαση του Πρωθυπουργού και του Υπουργού Οικονομίας και Οικονομικών «Καθορισμός αρμοδιοτήτων των Υφυπουργών Οικονομίας και Οικονομικών».</w:t>
      </w:r>
    </w:p>
    <w:p>
      <w:pPr>
        <w:pStyle w:val="StructureList1"/>
        <w:spacing w:before="120" w:after="0"/>
        <w:rPr>
          <w:lang w:val="el" w:eastAsia="el"/>
        </w:rPr>
      </w:pPr>
      <w:r>
        <w:rPr>
          <w:lang w:val="el" w:eastAsia="el"/>
        </w:rPr>
        <w:t>στ)</w:t>
      </w:r>
      <w:r>
        <w:rPr>
          <w:lang w:val="en" w:eastAsia="en"/>
        </w:rPr>
        <w:tab/>
      </w:r>
      <w:r>
        <w:rPr>
          <w:lang w:val="el" w:eastAsia="el"/>
        </w:rPr>
        <w:t xml:space="preserve">Την υπ’ αριθμ. Α.Υ.Ο. Τ6507/8127/22.12.2000 «Καθιέρωση Ολοκληρωμένου Πληροφοριακού Συστήματος Τελωνείων (Ο.Π.Σ.Τ.) και ειδικής διαδικασίας επαλήθευσης εμπορευμάτων και βεβαίωσης των αναλογουσών δασμοφορολογικών επιβαρύνσεων» </w:t>
      </w:r>
      <w:r>
        <w:rPr>
          <w:lang w:val="el" w:eastAsia="el"/>
        </w:rPr>
        <w:t>(φΕΚ</w:t>
      </w:r>
      <w:r>
        <w:rPr>
          <w:lang w:val="el" w:eastAsia="el"/>
        </w:rPr>
        <w:t xml:space="preserve"> 1634/Β/29.12.2000).</w:t>
      </w:r>
    </w:p>
    <w:p>
      <w:pPr>
        <w:pStyle w:val="PreambelText"/>
        <w:spacing w:before="240" w:after="240"/>
        <w:rPr>
          <w:lang w:val="el" w:eastAsia="el"/>
        </w:rPr>
      </w:pPr>
      <w:r>
        <w:rPr>
          <w:lang w:val="el" w:eastAsia="el"/>
        </w:rPr>
        <w:t>2. Την ανάγκη διεξαγωγής ποιοτικά αναβαθμισμένων τελωνειακών ελέγχων.</w:t>
      </w:r>
    </w:p>
    <w:p>
      <w:pPr>
        <w:pStyle w:val="PreambelText"/>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αποφασίζουμε :</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1 του άρθρου 4 της υπ’ αριθμ. Α.Υ.Ο. Τ6507/8127/22.12.2000, αντικαθίσταται ως εξής :</w:t>
      </w:r>
    </w:p>
    <w:p>
      <w:pPr>
        <w:pStyle w:val="MainText"/>
        <w:spacing w:before="120" w:after="0"/>
        <w:rPr>
          <w:lang w:val="el" w:eastAsia="el"/>
        </w:rPr>
      </w:pPr>
      <w:r>
        <w:rPr>
          <w:b/>
          <w:bCs/>
          <w:lang w:val="el" w:eastAsia="el"/>
        </w:rPr>
        <w:t>1.</w:t>
      </w:r>
      <w:r>
        <w:rPr>
          <w:lang w:val="el" w:eastAsia="el"/>
        </w:rPr>
        <w:t xml:space="preserve"> Η εξέταση των εμπορευμάτων για την επαλήθευση της ακρίβειας των διασαφήσεων καθώς και για τον προσδιορισμό των δασμοφορολογικών επιβαρύνσεων είναι υποχρεωτική για :</w:t>
      </w:r>
    </w:p>
    <w:p>
      <w:pPr>
        <w:pStyle w:val="StructureList1"/>
        <w:spacing w:before="120" w:after="0"/>
        <w:rPr>
          <w:lang w:val="el" w:eastAsia="el"/>
        </w:rPr>
      </w:pPr>
      <w:r>
        <w:rPr>
          <w:lang w:val="el" w:eastAsia="el"/>
        </w:rPr>
        <w:t>α)</w:t>
      </w:r>
      <w:r>
        <w:rPr>
          <w:lang w:val="en" w:eastAsia="en"/>
        </w:rPr>
        <w:tab/>
      </w:r>
      <w:r>
        <w:rPr>
          <w:lang w:val="el" w:eastAsia="el"/>
        </w:rPr>
        <w:t>Εμπορεύματα, που υποδεικνύονται από το Ο.Π.Σ.Τ., με βάση την ανάλυση κινδύνου, με εξαίρεση τα γεωργικά προϊόντα, που τυγχάνουν επιστροφών κατά την εξαγωγή, των οποίων η παραπάνω εξέταση πραγματοποιείται σε ποσοστό, που προβλέπεται από τους ισχύοντες σχετικούς κοινοτικούς Κανονισμούς.</w:t>
      </w:r>
    </w:p>
    <w:p>
      <w:pPr>
        <w:pStyle w:val="StructureList1"/>
        <w:spacing w:before="120" w:after="0"/>
        <w:rPr>
          <w:lang w:val="el" w:eastAsia="el"/>
        </w:rPr>
      </w:pPr>
      <w:r>
        <w:rPr>
          <w:lang w:val="el" w:eastAsia="el"/>
        </w:rPr>
        <w:t>β)</w:t>
      </w:r>
      <w:r>
        <w:rPr>
          <w:lang w:val="en" w:eastAsia="en"/>
        </w:rPr>
        <w:tab/>
      </w:r>
      <w:r>
        <w:rPr>
          <w:lang w:val="el" w:eastAsia="el"/>
        </w:rPr>
        <w:t>Εμπορεύματα που επιλέγονται τυχαία από το Ο.Π.Σ.Τ.</w:t>
      </w:r>
    </w:p>
    <w:p>
      <w:pPr>
        <w:pStyle w:val="StructureList1"/>
        <w:spacing w:before="120" w:after="0"/>
        <w:rPr>
          <w:lang w:val="el" w:eastAsia="el"/>
        </w:rPr>
      </w:pPr>
      <w:r>
        <w:rPr>
          <w:lang w:val="el" w:eastAsia="el"/>
        </w:rPr>
        <w:t>γ)</w:t>
      </w:r>
      <w:r>
        <w:rPr>
          <w:lang w:val="en" w:eastAsia="en"/>
        </w:rPr>
        <w:tab/>
      </w:r>
      <w:r>
        <w:rPr>
          <w:lang w:val="el" w:eastAsia="el"/>
        </w:rPr>
        <w:t>Κατηγορίες εμπορευμάτων που ορίζονται με απόφαση του Υπουργού Οικονομικών, έπειτα από εισήγηση της Γενικής Διεύθυνσης Τελωνείων και ΕΦΚ, ιδίως για λόγους προστασίας δημοσίου συμφέροντος ή στα πλαίσια άσκησης οικονομικής και εμπορικής πολιτικής.</w:t>
      </w:r>
    </w:p>
    <w:p>
      <w:pPr>
        <w:pStyle w:val="StructureList1"/>
        <w:spacing w:before="120" w:after="0"/>
        <w:rPr>
          <w:lang w:val="el" w:eastAsia="el"/>
        </w:rPr>
      </w:pPr>
      <w:r>
        <w:rPr>
          <w:lang w:val="el" w:eastAsia="el"/>
        </w:rPr>
        <w:t>δ)</w:t>
      </w:r>
      <w:r>
        <w:rPr>
          <w:lang w:val="en" w:eastAsia="en"/>
        </w:rPr>
        <w:tab/>
      </w:r>
      <w:r>
        <w:rPr>
          <w:lang w:val="el" w:eastAsia="el"/>
        </w:rPr>
        <w:t>Όλα τα εμπορεύματα που κατατίθεται διασάφηση από φυσικό ή νομικό πρόσωπο, το οποίο έχει διαπράξει λαθρεμπορία. Η υπαγωγή σε φυσικό έλεγχο των ανωτέρω εμπορευμάτων θα είναι υποχρεωτική για χρονικό διάστημα έως δύο έτη από την ημερομηνία έκδοσης του σχετικού πρωτοκόλλου τελωνειακής παράβασης (Π.Τ.Π.) σε βάρος του εν λόγω φυσικού ή νομικού προσώπου. Η ρύθμίση αυτή ισχύει απσκλειστικά και μόνσ για τις ανάγκες της ανάλυσης κινδύνσυ».</w:t>
      </w:r>
    </w:p>
    <w:p>
      <w:pPr>
        <w:pStyle w:val="StructureList1"/>
        <w:spacing w:before="120" w:after="0"/>
        <w:rPr>
          <w:lang w:val="el" w:eastAsia="el"/>
        </w:rPr>
      </w:pPr>
      <w:r>
        <w:rPr>
          <w:lang w:val="el" w:eastAsia="el"/>
        </w:rPr>
        <w:t>ε)</w:t>
      </w:r>
      <w:r>
        <w:rPr>
          <w:lang w:val="en" w:eastAsia="en"/>
        </w:rPr>
        <w:tab/>
      </w:r>
      <w:r>
        <w:rPr>
          <w:lang w:val="el" w:eastAsia="el"/>
        </w:rPr>
        <w:t>Εμπσρεύματα πσυ υπάρχει καταχωρημένσ στα υπσσύστημα ανάλυσης κινδύνσυ μήνυμα Αμσιβαίας Συνδρσμής (ΑΜ) απά την αρμάδια υπηρεσία της Ευρωπαϊκής Ένωσης.</w:t>
      </w:r>
    </w:p>
    <w:p>
      <w:pPr>
        <w:pStyle w:val="MainText"/>
        <w:spacing w:before="120" w:after="0"/>
        <w:rPr>
          <w:lang w:val="el" w:eastAsia="el"/>
        </w:rPr>
      </w:pPr>
      <w:r>
        <w:rPr>
          <w:b/>
          <w:bCs/>
          <w:lang w:val="el" w:eastAsia="el"/>
        </w:rPr>
        <w:t>2.</w:t>
      </w:r>
      <w:r>
        <w:rPr>
          <w:lang w:val="el" w:eastAsia="el"/>
        </w:rPr>
        <w:t xml:space="preserve"> Τσ άρθρα 8 της ανωτέρω ΑΥΟ καταργείται.</w:t>
      </w:r>
    </w:p>
    <w:p>
      <w:pPr>
        <w:spacing w:before="240" w:after="240"/>
        <w:rPr>
          <w:lang w:val="el" w:eastAsia="el"/>
        </w:rPr>
      </w:pPr>
      <w:r>
        <w:rPr>
          <w:lang w:val="el" w:eastAsia="el"/>
        </w:rPr>
        <w:t>Άρθρα 2</w:t>
      </w:r>
    </w:p>
    <w:p>
      <w:pPr>
        <w:pStyle w:val="MainText"/>
        <w:spacing w:before="120" w:after="0"/>
        <w:rPr>
          <w:lang w:val="el" w:eastAsia="el"/>
        </w:rPr>
      </w:pPr>
      <w:r>
        <w:rPr>
          <w:b/>
          <w:bCs/>
          <w:lang w:val="el" w:eastAsia="el"/>
        </w:rPr>
        <w:t>1.</w:t>
      </w:r>
      <w:r>
        <w:rPr>
          <w:lang w:val="el" w:eastAsia="el"/>
        </w:rPr>
        <w:t xml:space="preserve"> Η ισχύς της παρσύσης απάφασης αρχίζει απά τη δημσσίευσή της στην Εφημερίδα της Κυβερνήσεως.</w:t>
      </w:r>
    </w:p>
    <w:p>
      <w:pPr>
        <w:spacing w:before="240" w:after="240"/>
        <w:rPr>
          <w:lang w:val="el" w:eastAsia="el"/>
        </w:rPr>
      </w:pPr>
      <w:r>
        <w:rPr>
          <w:lang w:val="el" w:eastAsia="el"/>
        </w:rPr>
        <w:t>Η απάφαση αυτή να δημσσιευθεί στην Εφημερίδα της Κυβερνήσεως.</w:t>
      </w:r>
    </w:p>
    <w:p>
      <w:pPr>
        <w:spacing w:before="240" w:after="240"/>
        <w:rPr>
          <w:lang w:val="el" w:eastAsia="el"/>
        </w:rPr>
      </w:pPr>
      <w:r>
        <w:rPr>
          <w:lang w:val="el" w:eastAsia="el"/>
        </w:rPr>
        <w:t>Αθήνα, 27 Ισυνίσυ 2005</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ΑΔΑΜ ΡΕΓΚΟΥΖΑΣ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