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3122.1/4019/24380</w:t>
      </w:r>
    </w:p>
    <w:p>
      <w:pPr>
        <w:pStyle w:val="PreambelText"/>
        <w:spacing w:before="240" w:after="240"/>
        <w:rPr>
          <w:lang w:val="el" w:eastAsia="el"/>
        </w:rPr>
      </w:pPr>
      <w:r>
        <w:rPr>
          <w:lang w:val="el" w:eastAsia="el"/>
        </w:rPr>
        <w:t>Εγκατάσταση στην Ελλάδα γραφείου ή Υποκαταστήματος της Εταιρείας «TPT SERVICES INC.» που εδρεύει στην Πολιτεία Ντελαγουέρ των ΗΠΑ</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1246.3/4/1994/1.12.1994, όπως συμπληρώθηκε με την υπ’ αριθμ. 3122.3/18.5.2005 (ΦΕΚ 704/ Β’/25.5.2005 και τις υπ’ αριθμ.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28 Αυγούστου 2006 αίτηση της εταιρείας TPT SERVICES INC.</w:t>
      </w:r>
    </w:p>
    <w:p>
      <w:pPr>
        <w:pStyle w:val="PreambelText"/>
        <w:spacing w:before="240" w:after="240"/>
        <w:rPr>
          <w:lang w:val="el" w:eastAsia="el"/>
        </w:rPr>
      </w:pPr>
      <w:r>
        <w:rPr>
          <w:lang w:val="el" w:eastAsia="el"/>
        </w:rPr>
        <w:t>στ. Το υπ’ αριθμ. 3603713/28.8.2006 παράβολο Δ.Ο.Υ. ΠΛΟΙΩΝ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TPT SERVICES INC. που εδρεύει στην Πολιτεία Ντελαγουέρ των ΗΠΑ και την υπαγωγή της στις διατάξεις του άρθρου 25 του ν.27/1975 όπως αντικαταστάθηκε με το άρθρο 4 του ν.2234/1994 και του άρθρου 34 του ν. 3427/2005 (ΦΕΚ 312 Α’/2005) με το σκοπό όπως εφόσον επιτρέπεται από το καταστατικό της, απασχολείται αποκλειστικά και μόνο με ναυλώσεις,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H σύναψη συμβάσεων ναυλώσεων και η μεσιτεία για τη ναύλωση πλοίων που αναφέρονται στην παρ. 1 του άρθρου αυτού και η επιμέλεια κάθε θέματος σχετικού με τις εργασίες αυτές.</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pStyle w:val="MainText"/>
        <w:spacing w:before="120" w:after="0"/>
        <w:rPr>
          <w:lang w:val="el" w:eastAsia="el"/>
        </w:rPr>
      </w:pPr>
      <w:r>
        <w:rPr>
          <w:b/>
          <w:bCs/>
          <w:lang w:val="el" w:eastAsia="el"/>
        </w:rPr>
        <w:t>3.</w:t>
      </w:r>
      <w:r>
        <w:rPr>
          <w:lang w:val="el" w:eastAsia="el"/>
        </w:rPr>
        <w:t xml:space="preserve"> Απαγορεύεται στο παραπάνω γραφείο ή υποκατάστημα της εταιρείας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TPT SERVICES INC. που εδρεύει στην Πολιτεία Ντελαγουέρ των ΗΠΑ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 xml:space="preserve">(β)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w:t>
      </w:r>
    </w:p>
    <w:p>
      <w:pPr>
        <w:spacing w:before="240" w:after="240"/>
        <w:rPr>
          <w:lang w:val="el" w:eastAsia="el"/>
        </w:rPr>
      </w:pPr>
      <w:r>
        <w:rPr>
          <w:lang w:val="el" w:eastAsia="el"/>
        </w:rPr>
        <w:t>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τρείς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(τεύχος Β’)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