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73/2007</w:t>
      </w:r>
      <w:r>
        <w:rPr>
          <w:lang w:val="el" w:eastAsia="el"/>
        </w:rPr>
        <w:t>Τροποποίηση του π.δ. 445/1983 (Φ.Ε.Κ. 166/Α’/17.11.1983) σε εναρμόνιση προς την Οδηγία 2006/139/Ε.Κ της Επιτροπής (EE L 384/29.12.2006) «για την τροποποίηση της Οδηγίας 76/769/ΕΟΚ του Συμβουλίου όσον αφορά τους περιορισμούς κυκλοφορίας στην αγορά και χρήσης ενώσεων αρσενικού με σκοπό την προσαρμογή του παραρτήματος Ι της οδηγίας στην τεχνική πρόοδο.</w:t>
      </w:r>
    </w:p>
    <w:p>
      <w:pPr>
        <w:pStyle w:val="enacting"/>
        <w:spacing w:before="120" w:after="0"/>
        <w:rPr>
          <w:lang w:val="el" w:eastAsia="el"/>
        </w:rPr>
      </w:pPr>
      <w:r>
        <w:rPr>
          <w:b/>
          <w:bCs/>
          <w:lang w:val="el" w:eastAsia="el"/>
        </w:rPr>
        <w:t xml:space="preserve">Ο ΥΠΟΥΡΓΟΣ ΚΑΙ Ο </w:t>
      </w:r>
      <w:r>
        <w:rPr>
          <w:lang w:val="el" w:eastAsia="el"/>
        </w:rPr>
        <w:br/>
      </w:r>
      <w:r>
        <w:rPr>
          <w:b/>
          <w:bCs/>
          <w:lang w:val="el" w:eastAsia="el"/>
        </w:rPr>
        <w:t>YΦΥΠΟΥΡΓΟΣΟΙΚΟΝΟΜΙΑΣ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υπ’ αριθμ. 3003219/668/15.2.2007 έγγραφο της Διεύθυνσης Περιβάλλοντος του Γενικού Χημείου του Κράτους.</w:t>
      </w:r>
    </w:p>
    <w:p>
      <w:pPr>
        <w:pStyle w:val="PreambelText"/>
        <w:spacing w:before="240" w:after="240"/>
        <w:rPr>
          <w:lang w:val="el" w:eastAsia="el"/>
        </w:rPr>
      </w:pPr>
      <w:r>
        <w:rPr>
          <w:lang w:val="el" w:eastAsia="el"/>
        </w:rPr>
        <w:t>2) Τις διατάξεις του άρθρου 1 (παρ. 1, 2 και 3) του ν.1338/1983 «Εφαρμογή του Κοινοτικού Δικαίου» (Φ.Ε.Κ. 34/Α/1983) όπως τροποποιήθηκε από το άρθρο 6 του ν. 1440/1984 «Συμμετοχή της Ελλάδος στο Κεφάλαιο, στα αποθεματικά και στις προβλέψεις της Ευρωπαϊκή</w:t>
      </w:r>
    </w:p>
    <w:p>
      <w:pPr>
        <w:pStyle w:val="PreambelText"/>
        <w:spacing w:before="240" w:after="240"/>
        <w:rPr>
          <w:lang w:val="el" w:eastAsia="el"/>
        </w:rPr>
      </w:pPr>
      <w:r>
        <w:rPr>
          <w:lang w:val="el" w:eastAsia="el"/>
        </w:rPr>
        <w:t>Τράπεζας Επενδύσεων, στο Κεφάλαιο της Ευρωπαϊκής Κοινότητος Άνθρακος και Χάλυβος και του Οργανισμού Εφοδιασμού ΕΥΡΑΤΟΜ» (Φ.Ε.Κ. 70/Α/1984) καθώς και το άρθρο 65 του ν. 1892/1990 (Φ.Ε.Κ. 101/Α/1990).</w:t>
      </w:r>
    </w:p>
    <w:p>
      <w:pPr>
        <w:pStyle w:val="PreambelText"/>
        <w:spacing w:before="240" w:after="240"/>
        <w:rPr>
          <w:lang w:val="el" w:eastAsia="el"/>
        </w:rPr>
      </w:pPr>
      <w:r>
        <w:rPr>
          <w:lang w:val="el" w:eastAsia="el"/>
        </w:rPr>
        <w:t>3) Το εδάφιο δ της παρ. 8 του άρθρου 6 του ν. 4328/ 1929 (Φ.Ε.Κ. 272/Α/1929) «Περί συστάσεως Γενικού Χημείου του Κράτους», όπως αντικαταστάθηκε από την παράγραφο 6 του άρθρου 11 του ν. 2343/1995, (Φ.Ε.Κ. 211/Α/11.10.1995).</w:t>
      </w:r>
    </w:p>
    <w:p>
      <w:pPr>
        <w:pStyle w:val="PreambelText"/>
        <w:spacing w:before="240" w:after="240"/>
        <w:rPr>
          <w:lang w:val="el" w:eastAsia="el"/>
        </w:rPr>
      </w:pPr>
      <w:r>
        <w:rPr>
          <w:lang w:val="el" w:eastAsia="el"/>
        </w:rPr>
        <w:t>4) Το άρθρο 4 του Διατάγματος της 31ης Οκτωβρίου 1929 «Περί κανονισμού της λειτουργίας και των εργασιών του Ανωτάτου Χημικού Συμβουλίου» (Φ.Ε.Κ. 391/ Α/1929).</w:t>
      </w:r>
    </w:p>
    <w:p>
      <w:pPr>
        <w:pStyle w:val="PreambelText"/>
        <w:spacing w:before="240" w:after="240"/>
        <w:rPr>
          <w:lang w:val="el" w:eastAsia="el"/>
        </w:rPr>
      </w:pPr>
      <w:r>
        <w:rPr>
          <w:lang w:val="el" w:eastAsia="el"/>
        </w:rPr>
        <w:t>5) Το άρθρο 1 του ν. 115/1975 «Περί τροποποιήσεως διατάξεων τινών του ν. 4328/1929» (Φ.Ε.Κ. 172/Α/1975).</w:t>
      </w:r>
    </w:p>
    <w:p>
      <w:pPr>
        <w:pStyle w:val="PreambelText"/>
        <w:spacing w:before="240" w:after="240"/>
        <w:rPr>
          <w:lang w:val="el" w:eastAsia="el"/>
        </w:rPr>
      </w:pPr>
      <w:r>
        <w:rPr>
          <w:lang w:val="el" w:eastAsia="el"/>
        </w:rPr>
        <w:t>6) Τα π.δ. 284/1988 και 543/1989 «Οργανισμός του Υπουργείου Οικονομικών» (Φ.Ε.Κ. 128 και 165/Α/1988 και 229/Α/1989).</w:t>
      </w:r>
    </w:p>
    <w:p>
      <w:pPr>
        <w:pStyle w:val="PreambelText"/>
        <w:spacing w:before="240" w:after="240"/>
        <w:rPr>
          <w:lang w:val="el" w:eastAsia="el"/>
        </w:rPr>
      </w:pPr>
      <w:r>
        <w:rPr>
          <w:lang w:val="el" w:eastAsia="el"/>
        </w:rPr>
        <w:t>7) Την υπ’ αριθμ. 1078204/927/0006 Α/6.8.1992 απόφαση των Υπουργών Προεδρίας και Οικονομικών «Περιορισμός Συλλογικών Οργάνων του Υπουργείου Οικονομικών» (Φ.Ε.Κ. 517/Β/1992).</w:t>
      </w:r>
    </w:p>
    <w:p>
      <w:pPr>
        <w:pStyle w:val="PreambelText"/>
        <w:spacing w:before="240" w:after="240"/>
        <w:rPr>
          <w:lang w:val="el" w:eastAsia="el"/>
        </w:rPr>
      </w:pPr>
      <w:r>
        <w:rPr>
          <w:lang w:val="el" w:eastAsia="el"/>
        </w:rPr>
        <w:t>8) Την υπ’ αριθμ. 37930/ΔIOΕ 1264/14.10.2005 απόφαση του Πρωθυπουργού και Υπουργού Οικονομίας και Οικονομικών «Καθορισμός αρμοδιοτήτων των Υφυπουργών Οικονομίας και Οικονομικών».</w:t>
      </w:r>
    </w:p>
    <w:p>
      <w:pPr>
        <w:pStyle w:val="PreambelText"/>
        <w:spacing w:before="240" w:after="240"/>
        <w:rPr>
          <w:lang w:val="el" w:eastAsia="el"/>
        </w:rPr>
      </w:pPr>
      <w:r>
        <w:rPr>
          <w:lang w:val="el" w:eastAsia="el"/>
        </w:rPr>
        <w:t>9) Τις διατάξεις του άρθρου 90 του π.δ. 63/2005 (Φ.Ε.Κ. 98/Α/2005) «Κωδικοποίηση της νομοθεσίας για την Κυβέρνηση και τα κυβερνητικά όργανα» και το γεγονός ότι από την παρούσα απόφαση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Εγκρίνουμε την απόφαση υπ’ αριθμ. 73/2007 του Ανωτάτου Χημικού Συμβουλίου η οποία ελήφθη κατά τη συνεδρία της 2.3.2007 και η οποία έχει ως εξής:</w:t>
      </w:r>
    </w:p>
    <w:p>
      <w:pPr>
        <w:pStyle w:val="enacting"/>
        <w:spacing w:before="120" w:after="0"/>
        <w:rPr>
          <w:lang w:val="el" w:eastAsia="el"/>
        </w:rPr>
      </w:pPr>
      <w:r>
        <w:rPr>
          <w:lang w:val="el" w:eastAsia="el"/>
        </w:rPr>
        <w:t>ΓΕΝΙΚΟ ΧΗΜΕΙΟ ΤΟΥ ΚΡΑΤΟΥΣΑΝΩΤΑΤΟ ΧΗΜΙΚΟ ΣΥΜΒΟΥΛΙΟ</w:t>
      </w:r>
    </w:p>
    <w:p>
      <w:pPr>
        <w:pStyle w:val="PreambelText"/>
        <w:spacing w:before="240" w:after="240"/>
        <w:rPr>
          <w:lang w:val="el" w:eastAsia="el"/>
        </w:rPr>
      </w:pPr>
      <w:r>
        <w:rPr>
          <w:lang w:val="el" w:eastAsia="el"/>
        </w:rPr>
        <w:t>Εγκρίνουμε το σχέδιο απόφασης σχετικά με την τροποποίηση της τροποποίησης του π.δ. 445/1983 ως εξής:</w:t>
      </w:r>
    </w:p>
    <w:p>
      <w:pPr>
        <w:pStyle w:val="PreambelText"/>
        <w:spacing w:before="240" w:after="240"/>
        <w:rPr>
          <w:lang w:val="el" w:eastAsia="el"/>
        </w:rPr>
      </w:pPr>
      <w:r>
        <w:rPr>
          <w:lang w:val="el" w:eastAsia="el"/>
        </w:rPr>
        <w:t>Τροποποίηση του π.δ. 445/1983 (Φ.Ε.Κ. 166/Α’/17.11.1983) σε εναρμόνιση προς την Οδηγία 2006/139/Ε.Κ. της Επιτροπής (EE L 384/29.12.2006) «για την τροποποίηση της Οδηγίας 76/769/ΕΟΚ του Συμβουλίου όσον αφορά τους περιορισμούς κυκλοφορίας στην αγορά και χρήσης ενώσεων αρσενικού με σκοπό την προσαρμογή του παραρτήματος Ι της οδηγίας στην τεχνική πρόοδο»,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 παρούσα απόφαση εναρμονίζει την Ελληνική Νομοθεσία προς την Οδηγία 2006/139/Ε.Κ. της Επιτροπής (EE L 384/29.12.2006) «για την τροποποίηση της Οδηγίας 76/769/ΕΟΚ του Συμβουλίου όσον αφορά τους περιορισμούς κυκλοφορίας στην αγορά και χρήσης ενώσεων αρσενικού με σκοπό την προσαρμογή του παραρτήματος Ι της οδηγίας στην τεχνική πρόοδο»</w:t>
      </w:r>
    </w:p>
    <w:p>
      <w:pPr>
        <w:spacing w:before="240" w:after="240"/>
        <w:rPr>
          <w:lang w:val="el" w:eastAsia="el"/>
        </w:rPr>
      </w:pPr>
      <w:r>
        <w:rPr>
          <w:lang w:val="el" w:eastAsia="el"/>
        </w:rPr>
        <w:t>Η ανωτέρω Οδηγία τροποποιεί το Παράρτημα Ι της Οδηγίας του Συμβουλίου 76/769/Ε.Ο.Κ., που έχει ενσωματωθεί στην Ελληνική Νομοθεσία με το Προεδρικό Διάταγμα 445/1983 (Φ.Ε.Κ. 166/Α’/17.11.1983) «Περιορισμός θέσης σε κυκλοφορία και χρήσης μερικών επικινδύνων ουσιών και παρασκευασμάτων» όπως έχει τροποποιηθεί και ισχύει, τροποποιώντας το σημείο 20.</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Το Παράρτημα Ι του π.δ. 445/1983 (Φ.Ε.Κ. 166/Α’/ 17.11.1983), όπως έχει τροποποιηθεί και ισχύει, τροποποιείται σύμφωνα με το Παράρτημα της παρούσας απόφασης.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Η παρούσα απόφαση συνοδεύεται από Παράρτημα, το οποίο αποτελεί αναπόσπαστο τμήμα αυτής.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Από τις διατάξεις της παρούσας δεν προκαλείται δαπάνη σε βάρος του Κρατικού Προϋπολογισμού.</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Η ισχύς της παρούσας απόφασης αρχίζει από την 30η Σεπτεμβρίου 2007.</w:t>
      </w:r>
    </w:p>
    <w:p>
      <w:pPr>
        <w:spacing w:before="240" w:after="240"/>
        <w:rPr>
          <w:lang w:val="el" w:eastAsia="el"/>
        </w:rPr>
      </w:pPr>
      <w:r>
        <w:rPr>
          <w:lang w:val="el" w:eastAsia="el"/>
        </w:rPr>
        <w:t>ΠΑΡΑΡΤΗΜΑ</w:t>
      </w:r>
    </w:p>
    <w:p>
      <w:pPr>
        <w:spacing w:before="240" w:after="240"/>
        <w:rPr>
          <w:lang w:val="el" w:eastAsia="el"/>
        </w:rPr>
      </w:pPr>
      <w:r>
        <w:rPr>
          <w:lang w:val="el" w:eastAsia="el"/>
        </w:rPr>
        <w:t>Το σηµείο 20 του Παραρτήµατος I του π.δ. 445/1983 (Φ.Ε.Κ. 166/Α’/17.11.1983), όπως έχει τροποποιηθεί και ισχύει, αντικαθίσταται από το ακόλουθο σημείο:</w:t>
      </w:r>
    </w:p>
    <w:p>
      <w:pPr>
        <w:spacing w:before="240" w:after="240"/>
        <w:rPr>
          <w:lang w:val="el" w:eastAsia="el"/>
        </w:rPr>
      </w:pPr>
      <w:r>
        <w:rPr>
          <w:lang w:val="el" w:eastAsia="el"/>
        </w:rPr>
        <w:t>«20. Ενώσεις αρσενικού</w:t>
      </w:r>
    </w:p>
    <w:p>
      <w:pPr>
        <w:spacing w:before="240" w:after="240"/>
        <w:rPr>
          <w:lang w:val="el" w:eastAsia="el"/>
        </w:rPr>
      </w:pPr>
      <w:r>
        <w:rPr>
          <w:lang w:val="el" w:eastAsia="el"/>
        </w:rPr>
        <w:t>1. Δεν επιτρέπεται να διατίθενται στην αγορά ή να χρησιμοποιούνται ως ουσίες και συστατικά παρασκευασμάτων που προορίζονται να χρησιμοποιηθούν κατά της απόθεσης ακαθαρσιών από μικροοργανισμούς, φυτά ή ζώα:</w:t>
      </w:r>
    </w:p>
    <w:p>
      <w:pPr>
        <w:spacing w:before="240" w:after="240"/>
        <w:rPr>
          <w:lang w:val="el" w:eastAsia="el"/>
        </w:rPr>
      </w:pPr>
      <w:r>
        <w:rPr>
          <w:lang w:val="el" w:eastAsia="el"/>
        </w:rPr>
        <w:t>— στα ύφαλα σκαφών,</w:t>
      </w:r>
    </w:p>
    <w:p>
      <w:pPr>
        <w:spacing w:before="240" w:after="240"/>
        <w:rPr>
          <w:lang w:val="el" w:eastAsia="el"/>
        </w:rPr>
      </w:pPr>
      <w:r>
        <w:rPr>
          <w:lang w:val="el" w:eastAsia="el"/>
        </w:rPr>
        <w:t>— σε κλωβούς, πλωτήρες, δίχτυα και κάθε είδους εγκατάσταση ή εξοπλισμό που χρησιμοποιείται στην ιχθυοκαλλιέργεια ή οστρακοκαλλιέργεια,</w:t>
      </w:r>
    </w:p>
    <w:p>
      <w:pPr>
        <w:spacing w:before="240" w:after="240"/>
        <w:rPr>
          <w:lang w:val="el" w:eastAsia="el"/>
        </w:rPr>
      </w:pPr>
      <w:r>
        <w:rPr>
          <w:lang w:val="el" w:eastAsia="el"/>
        </w:rPr>
        <w:t>— σε κάθε είδους εγκατάσταση ή εξοπλισμό ολικώς ή μερικώς βυθιζόμενο.</w:t>
      </w:r>
    </w:p>
    <w:p>
      <w:pPr>
        <w:spacing w:before="240" w:after="240"/>
        <w:rPr>
          <w:lang w:val="el" w:eastAsia="el"/>
        </w:rPr>
      </w:pPr>
      <w:r>
        <w:rPr>
          <w:lang w:val="el" w:eastAsia="el"/>
        </w:rPr>
        <w:t>2. Δεν επιτρέπεται να διατίθενται στην αγορά ή να χρησιμοποιούνται ως ουσίες και συστατικά παρασκευασμάτων που προορίζονται να χρησιμοποιηθούν στην επεξεργασία βιομηχανικών υδάτων ανεξαρτήτως της χρήσης τους.</w:t>
      </w:r>
    </w:p>
    <w:p>
      <w:pPr>
        <w:spacing w:before="240" w:after="240"/>
        <w:rPr>
          <w:lang w:val="el" w:eastAsia="el"/>
        </w:rPr>
      </w:pPr>
      <w:r>
        <w:rPr>
          <w:lang w:val="el" w:eastAsia="el"/>
        </w:rPr>
        <w:t>3. Δεν επιτρέπεται να χρησιμοποιούνται για την προστασία του ξύλου. Επιπροσθέτως, το ξύλο που έχει υποβληθεί σε τέτοια επεξεργασία δεν επιτρέπεται να διατεθεί στην αγορά.</w:t>
      </w:r>
    </w:p>
    <w:p>
      <w:pPr>
        <w:spacing w:before="240" w:after="240"/>
        <w:rPr>
          <w:lang w:val="el" w:eastAsia="el"/>
        </w:rPr>
      </w:pPr>
      <w:r>
        <w:rPr>
          <w:lang w:val="el" w:eastAsia="el"/>
        </w:rPr>
        <w:t>4. Ωστόσο, κατά παρέκκλιση:</w:t>
      </w:r>
    </w:p>
    <w:p>
      <w:pPr>
        <w:spacing w:before="240" w:after="240"/>
        <w:rPr>
          <w:lang w:val="el" w:eastAsia="el"/>
        </w:rPr>
      </w:pPr>
      <w:r>
        <w:rPr>
          <w:lang w:val="el" w:eastAsia="el"/>
        </w:rPr>
        <w:t>α) Όσον αφορά τις ουσίες και τα παρασκευάσματα για την προστασία του ξύλου: αυτά επιτρέπεται να χρησιμοποιούνται μόνο στις βιομηχανικές εγκαταστάσεις για τον εμποτισμό του ξύλου μέσω κενού ή πίεσης, αν είναι διαλύματα ανόργανων ενώσεων χαλκού, χρωμίου, αρσενικού (CCA) τύπου C και αν επιτρέπονται σύμφωνα με το άρθρο 5 παράγραφος 1 της οδηγίας 98/8/ΕΚ. Το ξύλο που έχει υποστεί τέτοια επεξεργασία δεν επιτρέπεται να διατεθεί στην αγορά πριν ολοκληρωθεί η σταθεροποίηση του συντηρητικού.</w:t>
      </w:r>
    </w:p>
    <w:p>
      <w:pPr>
        <w:spacing w:before="240" w:after="240"/>
        <w:rPr>
          <w:lang w:val="el" w:eastAsia="el"/>
        </w:rPr>
      </w:pPr>
      <w:r>
        <w:rPr>
          <w:lang w:val="el" w:eastAsia="el"/>
        </w:rPr>
        <w:t>β) Το ξύλο που υποβάλλεται σε επεξεργασία με διαλύματα CCA σε βιομηχανικές εγκαταστάσεις σύμφωνα με το σημείο α) επιτρέπεται να διατίθεται στην αγορά για επαγγελματική και βιομηχανική χρήση όταν η δομική ακεραιότητα του ξύλου είναι απαραίτητη για την ασφάλεια του ανθρώπου ή των ζώων και όταν η δια του δέρματος επαφή με το ευρύ κοινό κατά τη διάρκεια ζωής του είναι απίθανη:</w:t>
      </w:r>
    </w:p>
    <w:p>
      <w:pPr>
        <w:spacing w:before="240" w:after="240"/>
        <w:rPr>
          <w:lang w:val="el" w:eastAsia="el"/>
        </w:rPr>
      </w:pPr>
      <w:r>
        <w:rPr>
          <w:lang w:val="el" w:eastAsia="el"/>
        </w:rPr>
        <w:t>— ως δομική ξυλεία σε δημόσια και γεωργικά κτίρια, κτίρια γραφείων και βιομηχανικές εγκαταστάσεις,</w:t>
      </w:r>
    </w:p>
    <w:p>
      <w:pPr>
        <w:spacing w:before="240" w:after="240"/>
        <w:rPr>
          <w:lang w:val="el" w:eastAsia="el"/>
        </w:rPr>
      </w:pPr>
      <w:r>
        <w:rPr>
          <w:lang w:val="el" w:eastAsia="el"/>
        </w:rPr>
        <w:t>— σε γέφυρες και λοιπά έργα γεφυροποιίας,</w:t>
      </w:r>
    </w:p>
    <w:p>
      <w:pPr>
        <w:spacing w:before="240" w:after="240"/>
        <w:rPr>
          <w:lang w:val="el" w:eastAsia="el"/>
        </w:rPr>
      </w:pPr>
      <w:r>
        <w:rPr>
          <w:lang w:val="el" w:eastAsia="el"/>
        </w:rPr>
        <w:t>— ως ξυλεία κατασκευών σε περιοχές γλυκών υδάτων και υφάλμυρων υδάτων, π.χ. σε λιμενοβραχίονες και γέφυρες,</w:t>
      </w:r>
    </w:p>
    <w:p>
      <w:pPr>
        <w:spacing w:before="240" w:after="240"/>
        <w:rPr>
          <w:lang w:val="el" w:eastAsia="el"/>
        </w:rPr>
      </w:pPr>
      <w:r>
        <w:rPr>
          <w:lang w:val="el" w:eastAsia="el"/>
        </w:rPr>
        <w:t>— ως φράγματα ηχοπροστασίας,</w:t>
      </w:r>
    </w:p>
    <w:p>
      <w:pPr>
        <w:spacing w:before="240" w:after="240"/>
        <w:rPr>
          <w:lang w:val="el" w:eastAsia="el"/>
        </w:rPr>
      </w:pPr>
      <w:r>
        <w:rPr>
          <w:lang w:val="el" w:eastAsia="el"/>
        </w:rPr>
        <w:t>— για τον έλεγχο χιονοστιβάδων,</w:t>
      </w:r>
    </w:p>
    <w:p>
      <w:pPr>
        <w:spacing w:before="240" w:after="240"/>
        <w:rPr>
          <w:lang w:val="el" w:eastAsia="el"/>
        </w:rPr>
      </w:pPr>
      <w:r>
        <w:rPr>
          <w:lang w:val="el" w:eastAsia="el"/>
        </w:rPr>
        <w:t>— σε περιφράξεις και στηθαία ασφαλείας αυτοκινητοδρόμων,</w:t>
      </w:r>
    </w:p>
    <w:p>
      <w:pPr>
        <w:spacing w:before="240" w:after="240"/>
        <w:rPr>
          <w:lang w:val="el" w:eastAsia="el"/>
        </w:rPr>
      </w:pPr>
      <w:r>
        <w:rPr>
          <w:lang w:val="el" w:eastAsia="el"/>
        </w:rPr>
        <w:t>— ως πάσσαλοι από αποφλοιωμένη στρογγυλή ξυλεία κωνοφόρων σε φράκτες για αγροτικά ζώα,</w:t>
      </w:r>
    </w:p>
    <w:p>
      <w:pPr>
        <w:spacing w:before="240" w:after="240"/>
        <w:rPr>
          <w:lang w:val="el" w:eastAsia="el"/>
        </w:rPr>
      </w:pPr>
      <w:r>
        <w:rPr>
          <w:lang w:val="el" w:eastAsia="el"/>
        </w:rPr>
        <w:t>— σε έργα συγκράτησης εδαφών,</w:t>
      </w:r>
    </w:p>
    <w:p>
      <w:pPr>
        <w:spacing w:before="240" w:after="240"/>
        <w:rPr>
          <w:lang w:val="el" w:eastAsia="el"/>
        </w:rPr>
      </w:pPr>
      <w:r>
        <w:rPr>
          <w:lang w:val="el" w:eastAsia="el"/>
        </w:rPr>
        <w:t>— ως στύλοι για τη μεταφορά ηλεκτρικού ρεύματος και για τις τηλεπικοινωνίες,</w:t>
      </w:r>
    </w:p>
    <w:p>
      <w:pPr>
        <w:spacing w:before="240" w:after="240"/>
        <w:rPr>
          <w:lang w:val="el" w:eastAsia="el"/>
        </w:rPr>
      </w:pPr>
      <w:r>
        <w:rPr>
          <w:lang w:val="el" w:eastAsia="el"/>
        </w:rPr>
        <w:t>— ως στρωτήρες (τραβέρσες) σιδηροτροχιών.</w:t>
      </w:r>
    </w:p>
    <w:p>
      <w:pPr>
        <w:spacing w:before="240" w:after="240"/>
        <w:rPr>
          <w:lang w:val="el" w:eastAsia="el"/>
        </w:rPr>
      </w:pPr>
      <w:r>
        <w:rPr>
          <w:lang w:val="el" w:eastAsia="el"/>
        </w:rPr>
        <w:t>γ) Με την επιφύλαξη της εφαρμογής άλλων κοινοτικών διατάξεων για την ταξινόμηση, τη συσκευασία και την επισήμανση των επικίνδυνων ουσιών και παρασκευασμάτων, κάθε επεξεργασμένο ξύλο που διατίθεται στην αγορά πρέπει να φέρει ατομικά την επισήμανση “μόνο για επαγγελματική και βιομηχανική εγκατάσταση και χρήση, περιέχει αρσενικό”. Επιπροσθέτως, κάθε επεξεργασμένο ξύλο που διατίθεται στην αγορά σε δεσμίδες πρέπει επίσης να φέρει επισήμανση που να αναφέρει “Να φοράτε γάντια όταν πιάνετε αυτό το ξύλο. Να φοράτε μάσκα για τη σκόνη και να προστατεύετε τα μάτια σας όταν κόβετε ή όταν επεξεργάζεστε με άλλο τρόπο αυτό το ξύλο. Τα απόβλητα αυτού του ξύλου πρέπει να υφίστανται χειρισμό ως επικίνδυνα από εξουσιοδοτημένη επιχείρηση.”</w:t>
      </w:r>
    </w:p>
    <w:p>
      <w:pPr>
        <w:spacing w:before="240" w:after="240"/>
        <w:rPr>
          <w:lang w:val="el" w:eastAsia="el"/>
        </w:rPr>
      </w:pPr>
      <w:r>
        <w:rPr>
          <w:lang w:val="el" w:eastAsia="el"/>
        </w:rPr>
        <w:t>δ) Το επεξεργασμένο ξύλο που αναφέρεται στο σημείο α) δεν επιτρέπεται να χρησιμοποιείται:</w:t>
      </w:r>
    </w:p>
    <w:p>
      <w:pPr>
        <w:spacing w:before="240" w:after="240"/>
        <w:rPr>
          <w:lang w:val="el" w:eastAsia="el"/>
        </w:rPr>
      </w:pPr>
      <w:r>
        <w:rPr>
          <w:lang w:val="el" w:eastAsia="el"/>
        </w:rPr>
        <w:t>— σε οικιακές κατασκευές, ανεξαρτήτως σκοπού,</w:t>
      </w:r>
    </w:p>
    <w:p>
      <w:pPr>
        <w:spacing w:before="240" w:after="240"/>
        <w:rPr>
          <w:lang w:val="el" w:eastAsia="el"/>
        </w:rPr>
      </w:pPr>
      <w:r>
        <w:rPr>
          <w:lang w:val="el" w:eastAsia="el"/>
        </w:rPr>
        <w:t>— σε κάθε εφαρμογή στην οποία υπάρχει κίνδυνος επανειλημμένης επαφής με το δέρμα,</w:t>
      </w:r>
    </w:p>
    <w:p>
      <w:pPr>
        <w:spacing w:before="240" w:after="240"/>
        <w:rPr>
          <w:lang w:val="el" w:eastAsia="el"/>
        </w:rPr>
      </w:pPr>
      <w:r>
        <w:rPr>
          <w:lang w:val="el" w:eastAsia="el"/>
        </w:rPr>
        <w:t>— σε θαλάσσια ύδατα,</w:t>
      </w:r>
    </w:p>
    <w:p>
      <w:pPr>
        <w:spacing w:before="240" w:after="240"/>
        <w:rPr>
          <w:lang w:val="el" w:eastAsia="el"/>
        </w:rPr>
      </w:pPr>
      <w:r>
        <w:rPr>
          <w:lang w:val="el" w:eastAsia="el"/>
        </w:rPr>
        <w:t>— για γεωργικούς σκοπούς διαφορετικούς από τους πασσάλους σε φράκτες για αγροτικά ζώα και από τις δομικές χρήσεις που αναφέρονται στο σημείο β),</w:t>
      </w:r>
    </w:p>
    <w:p>
      <w:pPr>
        <w:spacing w:before="240" w:after="240"/>
        <w:rPr>
          <w:lang w:val="el" w:eastAsia="el"/>
        </w:rPr>
      </w:pPr>
      <w:r>
        <w:rPr>
          <w:lang w:val="el" w:eastAsia="el"/>
        </w:rPr>
        <w:t>— σε κάθε εφαρμογή κατά την οποία το επεξεργασμένο ξύλο μπορεί να έρθει σε επαφή με ενδιάμεσα ή τελικά προϊόντα που προορίζονται για κατανάλωση από τον άνθρωπο ή/και τα ζώα.</w:t>
      </w:r>
    </w:p>
    <w:p>
      <w:pPr>
        <w:spacing w:before="240" w:after="240"/>
        <w:rPr>
          <w:lang w:val="el" w:eastAsia="el"/>
        </w:rPr>
      </w:pPr>
      <w:r>
        <w:rPr>
          <w:lang w:val="el" w:eastAsia="el"/>
        </w:rPr>
        <w:t>5. Το ξύλο το οποίο υποβλήθηκε σε επεξεργασία με ενώσεις αρσενικού και χρησιμοποιείτο στην Κοινότητα πριν από τις 30 Σεπτεμβρίου 2007, ή διατέθηκε στην αγορά σύμφωνα με τους κανόνες της παρούσας οδηγίας, μπορεί να διατηρηθεί και να εξακολουθήσει να χρησιμοποιείται έως ότου ολοκληρωθεί η διάρκεια της ζωής του.</w:t>
      </w:r>
    </w:p>
    <w:p>
      <w:pPr>
        <w:spacing w:before="240" w:after="240"/>
        <w:rPr>
          <w:lang w:val="el" w:eastAsia="el"/>
        </w:rPr>
      </w:pPr>
      <w:r>
        <w:rPr>
          <w:lang w:val="el" w:eastAsia="el"/>
        </w:rPr>
        <w:t>6. Το ξύλο το οποίο υποβλήθηκε σε επεξεργασία με CCA τύπου C και χρησιμοποιήθηκε στην Κοινότητα πριν από τις 30 Σεπτεμβρίου 2007, ή διατέθηκε στην αγορά σύμφωνα με τους κανόνες της παρούσας οδηγίας:</w:t>
      </w:r>
    </w:p>
    <w:p>
      <w:pPr>
        <w:spacing w:before="240" w:after="240"/>
        <w:rPr>
          <w:lang w:val="el" w:eastAsia="el"/>
        </w:rPr>
      </w:pPr>
      <w:r>
        <w:rPr>
          <w:lang w:val="el" w:eastAsia="el"/>
        </w:rPr>
        <w:t>— επιτρέπεται να χρησιμοποιείται ή να επαναχρησιμοποιείται σύμφωνα με τους όρους χρήσης που απαριθμούνται στο σημείο 4 στοιχεία β), γ) και δ),</w:t>
      </w:r>
    </w:p>
    <w:p>
      <w:pPr>
        <w:spacing w:before="240" w:after="240"/>
        <w:rPr>
          <w:lang w:val="el" w:eastAsia="el"/>
        </w:rPr>
      </w:pPr>
      <w:r>
        <w:rPr>
          <w:lang w:val="el" w:eastAsia="el"/>
        </w:rPr>
        <w:t>— επιτρέπεται να διατίθεται στην αγορά μεταχειρισμένων προϊόντων σύμφωνα με τους όρους χρήσης που απαριθμούνται στο σημείο 4 στοιχεία β), γ) και δ).</w:t>
      </w:r>
    </w:p>
    <w:p>
      <w:pPr>
        <w:spacing w:before="240" w:after="240"/>
        <w:rPr>
          <w:lang w:val="el" w:eastAsia="el"/>
        </w:rPr>
      </w:pPr>
      <w:r>
        <w:rPr>
          <w:lang w:val="el" w:eastAsia="el"/>
        </w:rPr>
        <w:t>7. Το ξύλο που είχε υποβληθεί σε επεξεργασία με άλλα είδη διαλυμάτων CCA και ήταν σε χρήση στην Κοινότητα πριν από τις 30 Σεπτεμβρίου 2007 επιτρέπεται:</w:t>
      </w:r>
    </w:p>
    <w:p>
      <w:pPr>
        <w:spacing w:before="240" w:after="240"/>
        <w:rPr>
          <w:lang w:val="el" w:eastAsia="el"/>
        </w:rPr>
      </w:pPr>
      <w:r>
        <w:rPr>
          <w:lang w:val="el" w:eastAsia="el"/>
        </w:rPr>
        <w:t>— να χρησιμοποιείται ή να επαναχρησιμοποιείται σύμφωνα με τους όρους χρήσης που απαριθμούνται στο σημείο 4 στοιχεία β), γ) και δ),</w:t>
      </w:r>
    </w:p>
    <w:p>
      <w:pPr>
        <w:spacing w:before="240" w:after="240"/>
        <w:rPr>
          <w:lang w:val="el" w:eastAsia="el"/>
        </w:rPr>
      </w:pPr>
      <w:r>
        <w:rPr>
          <w:lang w:val="el" w:eastAsia="el"/>
        </w:rPr>
        <w:t>— να διατίθεται στην αγορά μεταχειρισμένων προϊόντων σύμφωνα με τους όρους χρήσης που απαριθμούνται στο σημείο 4 στοιχεία β), γ) και δ).»</w:t>
      </w:r>
    </w:p>
    <w:p>
      <w:pPr>
        <w:spacing w:before="240" w:after="240"/>
        <w:rPr>
          <w:lang w:val="el" w:eastAsia="el"/>
        </w:rPr>
      </w:pPr>
      <w:r>
        <w:rPr>
          <w:lang w:val="el" w:eastAsia="el"/>
        </w:rPr>
        <w:t>Ο ΠΡΟΕΔΡΟΣ Η ΓΡΑΜΜΑΤΕΑΣ</w:t>
      </w:r>
    </w:p>
    <w:p>
      <w:pPr>
        <w:spacing w:before="240" w:after="240"/>
        <w:rPr>
          <w:lang w:val="el" w:eastAsia="el"/>
        </w:rPr>
      </w:pPr>
      <w:r>
        <w:rPr>
          <w:lang w:val="el" w:eastAsia="el"/>
        </w:rPr>
        <w:t>Ι. ΓΕΡΟΘΑΝΑΣΗΣ Α. ΑΛΙΒΕΡΤΗ</w:t>
      </w:r>
    </w:p>
    <w:p>
      <w:pPr>
        <w:spacing w:before="240" w:after="240"/>
        <w:rPr>
          <w:lang w:val="el" w:eastAsia="el"/>
        </w:rPr>
      </w:pPr>
      <w:r>
        <w:rPr>
          <w:lang w:val="el" w:eastAsia="el"/>
        </w:rPr>
        <w:t>Τα μέλη: Κ. Σταφυλάκης, Ν. Κατσίμπας, Β. Κασελούρη</w:t>
      </w:r>
    </w:p>
    <w:p>
      <w:pPr>
        <w:pStyle w:val="StructureList1"/>
        <w:spacing w:before="120" w:after="0"/>
        <w:rPr>
          <w:lang w:val="el" w:eastAsia="el"/>
        </w:rPr>
      </w:pPr>
      <w:r>
        <w:rPr>
          <w:lang w:val="el" w:eastAsia="el"/>
        </w:rPr>
        <w:t>-</w:t>
      </w:r>
      <w:r>
        <w:rPr>
          <w:lang w:val="en" w:eastAsia="en"/>
        </w:rPr>
        <w:tab/>
      </w:r>
      <w:r>
        <w:rPr>
          <w:lang w:val="el" w:eastAsia="el"/>
        </w:rPr>
        <w:t>Ρηγοπούλου, Ι. Χροναίος, Δ. Τσίχλης, Ε. Παλλαρή, Χ. Παπαχρήστου, Ι. Πετροχείλου.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Ιουλίου 2007</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ΟΙΚΟΝΟΜΙΑΣ ΚΑΙ ΟΙΚΟΝΟΜΙΚΩΝ ΥΦΥΠ. ΟΙΚΟΝΟΜΙΑΣ ΚΑΙ ΟΙΚΟΝΟΜΙΚΩΝ Γ. ΑΛΟΓΟΣΚΟΥΦΗΣ A. ΜΠΕΖΑΣ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