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Ε3981/1530/Δ0034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Τροποποίηση της Α.Υ.Ο. Τ6507/8127/22.12.2000, όπως αυτή τροποποιήθηκε με την Α.Υ.Ο Ε2101/757/ Δ0034/27.6.2005, για την «Καθιέρωση Ολοκληρωμένου Πληροφοριακού Συστήματος Τελωνείων (Ο.Π.Σ.Τ.) και ειδικής διαδικασίας επαλήθευσης εμπορευμάτων και βεβαίωσης των αναλογουσών δασμοφορολογικών επιβαρύνσεων».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ΟΥΦΥΠΟΥΡΓΟΣ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ΟΙΚΟΝΟΜΙΑΣΚΑΙΟΙΚΟΝΟΜΙΚΩΝ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Του άρθρου 3, του τελευταίου εδαφίου της παραγράφου 1 του άρθρου 11 και της παραγράφου 1 του άρθρου 24 του ν. 2960/2001 «Εθνικός Τελωνειακός Κώδικας (ΦΕΚ 265/Α/22.11.2001).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Των άρθρων 61, 68 και 71 του Καν. (ΕΟΚ) 2913/1992 «περί θεσπίσεως Κοινοτικού Τελωνειακού Κώδικα» και των άρθρων 222 έως 224, 247 και επόμενα του Καν. (ΕΟΚ) 2454/1993 «περί διατάξεων εφαρμογής του Κοινοτικού τελωνειακού Κώδικα».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άρθρου 90 παρ. 2 του Κώδικα Νομοθεσίας για την Κυβέρνηση και τα κυβερνητικά όργανα, ο οποίος κυρώθηκε με το άρθρο πρώτο του π.δ. 63/2005 «Κωδικοποίηση της Νομοθεσίας για την Κυβέρνηση και τα Κυβερνητικά Όργανα» (Α’/98).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Της υπ’ αριθμ. 42362/Υ252/28.9.2007 (ΦΕΚ 1948/Β’/ 3.10.2007) κοινής απόφασης του Πρωθυπουργού και του Υπουργού Οικονομίας και Οικονομικών «Καθορισμός αρμοδιοτήτων των Υφυπουργών Οικονομίας και Οικονομικών». ε) Της Α.Υ.Ο. Τ6507/8127/22.12.2000, όπως αυτή τροποποιήθηκε με την Δ.Υ.Ο Ε2101/757/Δ0034/27.6.2005, για την «Καθιέρωση Ολοκληρωμένου Πληροφοριακού Συστήματος Τελωνείων (Ο.Π.Σ.Τ.) και ειδικής διαδικασίας επαλήθευσης εμπορευμάτων και βεβαίωσης των αναλογουσών δασμοφορολογικών επιβαρύνσεων».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Τη διευκόλυνση του εμπορίου και την ανάγκη διεξαγωγής ποιοτικά αναβαθμισμένων τελωνειακών ελέγχων.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Το γεγονός ότι από τις διατάξεις της παρούσας δεν προκαλείται δαπάνη σε βάρος του κρατικού Προϋπολογισμού, 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Το εδάφιο δ) της παραγράφου 1 του άρθρου 4 της ΑΥΟ Τ6507/8127/22.12.2000, όπως αυτή τροποποιήθηκε με την Α.Υ.Ο Ε2101/757/Δ0034/27.6.2005, τροποποιείται ως εξής: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Εμπορεύματα για τα οποία κατατίθεται διασάφηση από φυσικό ή νομικό πρόσωπο, το οποίο έχει διαπράξει λαθρεμπορία. Η υπαγωγή σε φυσικό έλεγχο των ανωτέρω εμπορευμάτων θα είναι υποχρεωτική από την ημερομηνία έκδοσης του Π.Τ.Π. (Πρωτοκόλλου Τελωνειακής Παράβασης) σε βάρος του εν λόγω φυσικού ή νομικού προσώπου ως ακολούθως: α) για έξι (6) μήνες για λαθρεμπορία, όπου οι διαφυγόντες ή/και αναλογούντες δασμοί, φόροι και λοιπές επιβαρύνσεις ανέρχονται μέχρι χίλια ευρώ (1.000), β) για ένα (1) έτος για λαθρεμπορία, όπου οι διαφυγόντες ή/και αναλογούντες δασμοί, φόροι και λοιπές επιβαρύνσεις ανέρχονται από χίλια ευρώ και ένα λεπτό (1.000,01) μέχρι πέντε χιλιάδες ευρώ (5.000), γ) για δύο (2) έτη για λαθρεμπορία, όπου οι διαφυγόντες ή/και αναλογούντες δασμοί, φόροι και λοιπές επιβαρύνσεις ανέρχονται από πέντε χιλιάδες ευρώ και ένα λεπτό (5.000,01) και άνω. Η ρύθμιση αυτή ισχύει αποκλειστικά και μόνο για τις ανάγκες της ανάλυσης κινδύνου.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Η ισχύς της παρούσας αρχίζει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8 Νοεμβρίου 2007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ΑΝΤΩΝΙΟΣΜΠΕΖΑΣ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