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ΑΠΟΦΑΣΕΙΣ ΥΙΟΘΕΤΗΘΕΙΣΕΣ ΑΠΟ ΚΟΙΝΟΥ ΑΠΟ ΤΟ ΕΥΡΩΠΑΪΚΟΚΟΙΝΟΒΟΥΛΙΟ ΚΑΙ ΤΟ ΣΥΜΒΟΥΛΙΟ</w:t>
      </w:r>
    </w:p>
    <w:p>
      <w:pPr>
        <w:pStyle w:val="enacting"/>
        <w:spacing w:before="120" w:after="0"/>
        <w:rPr>
          <w:lang w:val="el" w:eastAsia="el"/>
        </w:rPr>
      </w:pPr>
      <w:r>
        <w:rPr>
          <w:b/>
          <w:bCs/>
          <w:lang w:val="el" w:eastAsia="el"/>
        </w:rPr>
        <w:t>ΑΠΟΦΑΣΗ αριθ. 70/2008/</w:t>
      </w:r>
      <w:r>
        <w:rPr>
          <w:lang w:val="el" w:eastAsia="el"/>
        </w:rPr>
        <w:br/>
      </w:r>
      <w:r>
        <w:rPr>
          <w:b/>
          <w:bCs/>
          <w:lang w:val="el" w:eastAsia="el"/>
        </w:rPr>
        <w:t xml:space="preserve">ΕΚ ΤΟΥ ΕΥΡΩΠΑΪΚΟΥ ΚΟΙΝΟΒΟΥΛΙΟΥ ΚΑΙ ΤΟΥ ΣΥΜΒΟΥΛΙΟΥτης 15ης Ιανουαρίου </w:t>
      </w:r>
      <w:r>
        <w:rPr>
          <w:lang w:val="el" w:eastAsia="el"/>
        </w:rPr>
        <w:br/>
      </w:r>
      <w:r>
        <w:rPr>
          <w:b/>
          <w:bCs/>
          <w:lang w:val="el" w:eastAsia="el"/>
        </w:rPr>
        <w:t>2008για ένα περιβάλλον χωρίς χαρτί για τα τελωνεία και τις εμπορικές επιχειρήσεις</w:t>
      </w:r>
      <w:r>
        <w:rPr>
          <w:lang w:val="el" w:eastAsia="el"/>
        </w:rPr>
        <w:br/>
      </w:r>
      <w:r>
        <w:rPr>
          <w:lang w:val="el" w:eastAsia="el"/>
        </w:rPr>
        <w:t>(2)</w:t>
      </w:r>
    </w:p>
    <w:p>
      <w:pPr>
        <w:pStyle w:val="PreambelText"/>
        <w:spacing w:before="240" w:after="240"/>
        <w:rPr>
          <w:lang w:val="el" w:eastAsia="el"/>
        </w:rPr>
      </w:pPr>
      <w:r>
        <w:rPr>
          <w:lang w:val="el" w:eastAsia="el"/>
        </w:rPr>
        <w:t>ΤΟ ΕΥΡΩΠΑΪΚΟ ΚΟΙΝΟΒΟΥΛΙΟ ΚΑΙ ΤΟ ΣΥΜΒΟΥΛΙΟ ΤΗΣ ΕΥΡΩΠΑΪΚΗΣ ΕΝΩΣΗΣ,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τη συνθήκη για την ίδρυση της Ευρωπαϊκής Κοινότητας, και ιδίως τα άρθρα 95 και 135,</w:t>
      </w:r>
    </w:p>
    <w:p>
      <w:pPr>
        <w:pStyle w:val="PreambelText"/>
        <w:spacing w:before="240" w:after="240"/>
        <w:rPr>
          <w:lang w:val="el" w:eastAsia="el"/>
        </w:rPr>
      </w:pPr>
      <w:r>
        <w:rPr>
          <w:lang w:val="el" w:eastAsia="el"/>
        </w:rPr>
        <w:t>την πρόταση της Επιτροπής,</w:t>
      </w:r>
    </w:p>
    <w:p>
      <w:pPr>
        <w:pStyle w:val="PreambelText"/>
        <w:spacing w:before="240" w:after="240"/>
        <w:rPr>
          <w:lang w:val="el" w:eastAsia="el"/>
        </w:rPr>
      </w:pPr>
      <w:r>
        <w:rPr>
          <w:lang w:val="el" w:eastAsia="el"/>
        </w:rPr>
        <w:t>Η πανευρωπαϊκή δράση για την παροχή ηλεκτρονικών διοικητικών υπηρεσιών, όπως προβλέπεται στην απόφαση 2004/387/ΕΚ, συνεπάγεται μέτρα για την αποτελεσματικότερη οργάνωση των τελωνειακών ελέγχων και την απρόσκοπτη ροή δεδομένων ώστε να βελτιωθεί η αποτελεσματικότητα των διαδικασιών εκτελωνισμού, να μειωθεί ο διοικητικός φόρτος, να υποστηριχθεί η καταπολέμηση της απάτης, του οργανωμένου εγκλήματος και της τρομοκρατίας, να διαφυλαχθούν τα φορολογικά συμφέροντα, να προστατευθούν η πνευματική ιδιοκτησία και η πολιτιστική κληρονομιά, να αυξηθεί η ασφάλεια των εμπορευμάτων και του διεθνούς εμπορίου, και να βελτιωθεί η προστασία της υγείας και του περιβάλλοντος. Για το σκοπό αυτό, είναι βασικό να προβλεφθούν τεχνολογίες των πληροφοριών και των επικοινωνιών (ΤΠΕ) για τελωνειακούς σκοπούς.</w:t>
      </w:r>
    </w:p>
    <w:p>
      <w:pPr>
        <w:pStyle w:val="PreambelText"/>
        <w:spacing w:before="240" w:after="240"/>
        <w:rPr>
          <w:lang w:val="el" w:eastAsia="el"/>
        </w:rPr>
      </w:pPr>
      <w:r>
        <w:rPr>
          <w:lang w:val="el" w:eastAsia="el"/>
        </w:rPr>
        <w:t>τη γνώμη της Ευρωπαϊκής Οικονομικής και Κοινωνικής Επιτροπής (</w:t>
      </w:r>
      <w:r>
        <w:rPr>
          <w:sz w:val="30"/>
          <w:szCs w:val="30"/>
          <w:vertAlign w:val="superscript"/>
          <w:lang w:val="el" w:eastAsia="el"/>
        </w:rPr>
        <w:t>1</w:t>
      </w:r>
      <w:r>
        <w:rPr>
          <w:lang w:val="el" w:eastAsia="el"/>
        </w:rPr>
        <w:t>),</w:t>
      </w:r>
    </w:p>
    <w:p>
      <w:pPr>
        <w:pStyle w:val="PreambelText"/>
        <w:spacing w:before="240" w:after="240"/>
        <w:rPr>
          <w:lang w:val="el" w:eastAsia="el"/>
        </w:rPr>
      </w:pPr>
      <w:r>
        <w:rPr>
          <w:lang w:val="el" w:eastAsia="el"/>
        </w:rPr>
        <w:t>Αποφασίζοντας σύμφωνα με τη διαδικασία του άρθρου 251 της συνθήκης (</w:t>
      </w:r>
      <w:r>
        <w:rPr>
          <w:sz w:val="30"/>
          <w:szCs w:val="30"/>
          <w:vertAlign w:val="superscript"/>
          <w:lang w:val="el" w:eastAsia="el"/>
        </w:rPr>
        <w:t>2</w:t>
      </w:r>
      <w:r>
        <w:rPr>
          <w:lang w:val="el" w:eastAsia="el"/>
        </w:rPr>
        <w:t>),</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Η Κοινότητα και τα κράτη μέλη έχουν δεσμευθεί, στα πλαίσια της Ατζέντας της Λισσαβώνας, να αυξήσουν την ανταγωνιστικότητα των επιχειρήσεων που δραστηριοποιούνται στην Ευρώπη. Σύμφωνα με την απόφαση 2004/387/ΕΚ του Ευρωπαϊκού Κοινοβουλίου και του Συμβουλίου, της 21ης Απριλίου 2004, περί της διαλειτουργικής παροχής πανευρωπαϊκών υπηρεσιών ηλεκτρονικής διακυβέρνησης στις δημόσιες διοικήσεις, τις επιχειρήσεις και τους πολίτες (IDABC) (</w:t>
      </w:r>
      <w:r>
        <w:rPr>
          <w:sz w:val="30"/>
          <w:szCs w:val="30"/>
          <w:vertAlign w:val="superscript"/>
          <w:lang w:val="el" w:eastAsia="el"/>
        </w:rPr>
        <w:t>3</w:t>
      </w:r>
      <w:r>
        <w:rPr>
          <w:lang w:val="el" w:eastAsia="el"/>
        </w:rPr>
        <w:t>), η Επιτροπή και τα κράτη μέλη πρέπει να παρέχουν αποδοτικά, αποτελεσματικά και διαλειτουργικά συστήματα πληροφόρησης και επικοινωνίας για την ανταλλαγή πληροφοριών μεταξύ των δημόσιων διοικήσεων και των πολιτών της Κοινότητας.</w:t>
      </w:r>
    </w:p>
    <w:p>
      <w:pPr>
        <w:pStyle w:val="PreambelText"/>
        <w:spacing w:before="240" w:after="240"/>
        <w:rPr>
          <w:lang w:val="el" w:eastAsia="el"/>
        </w:rPr>
      </w:pPr>
      <w:r>
        <w:rPr>
          <w:lang w:val="el" w:eastAsia="el"/>
        </w:rPr>
        <w:t>(1) ΕΕ C 318 της 23.12.2006, σ. 47.</w:t>
      </w:r>
    </w:p>
    <w:p>
      <w:pPr>
        <w:pStyle w:val="PreambelText"/>
        <w:spacing w:before="240" w:after="240"/>
        <w:rPr>
          <w:lang w:val="el" w:eastAsia="el"/>
        </w:rPr>
      </w:pPr>
      <w:r>
        <w:rPr>
          <w:lang w:val="el" w:eastAsia="el"/>
        </w:rPr>
        <w:t>(2) Γνώμη του Ευρωπαϊκού Κοινοβουλίου της 12ης Δεκεμβρίου 2006 (ΕΕ C 317 E της 23.12.2006, σ. 74), κοινή θέση του Συμβουλίου της 23ης Ιουλίου 2007 (ΕΕ C 242 E της 16.10.2007, σ. 1) και θέση του Ευρωπαϊκού Κοινοβουλίου της 11ης Δεκεμβρίου 2007 (δεν έχει ακόμα δημοσιευθεί στην Επίσημη Εφημερίδα).</w:t>
      </w:r>
    </w:p>
    <w:p>
      <w:pPr>
        <w:pStyle w:val="PreambelText"/>
        <w:spacing w:before="240" w:after="240"/>
        <w:rPr>
          <w:lang w:val="el" w:eastAsia="el"/>
        </w:rPr>
      </w:pPr>
      <w:r>
        <w:rPr>
          <w:lang w:val="el" w:eastAsia="el"/>
        </w:rPr>
        <w:t>(3) ΕΕ L 144 της 30.4.2004, σ. 65· όπως διορθώθηκε στην ΕΕ L 181 της 18.5.2004, σ. 25.</w:t>
      </w:r>
    </w:p>
    <w:p>
      <w:pPr>
        <w:pStyle w:val="PreambelText"/>
        <w:spacing w:before="240" w:after="240"/>
        <w:rPr>
          <w:lang w:val="el" w:eastAsia="el"/>
        </w:rPr>
      </w:pPr>
      <w:r>
        <w:rPr>
          <w:lang w:val="el" w:eastAsia="el"/>
        </w:rPr>
        <w:t>(3) Το ψήφισμα του Συμβουλίου της 5ης Δεκεμβρίου 2003 σχετικά με τη δημιουργία ενός απλού και χωρίς χαρτί περιβάλλοντος για τα τελωνεία και τις εμπορικές επιχειρήσεις (</w:t>
      </w:r>
      <w:r>
        <w:rPr>
          <w:sz w:val="30"/>
          <w:szCs w:val="30"/>
          <w:vertAlign w:val="superscript"/>
          <w:lang w:val="el" w:eastAsia="el"/>
        </w:rPr>
        <w:t>4</w:t>
      </w:r>
      <w:r>
        <w:rPr>
          <w:lang w:val="el" w:eastAsia="el"/>
        </w:rPr>
        <w:t>), που αποτελεί συνέχεια της ανακοίνωσης της Επιτροπής για ένα απλό περιβάλλον χωρίς χαρτί για τα τελωνεία και τις εμπορικές επιχειρήσεις, καλεί την Επιτροπή να εκπονήσει, σε στενή συνεργασία με τα κράτη μέλη, ένα πολυετές στρατηγικό σχέδιο για τη δημιουργία ενός συνεκτικού και διαλει- τουργικού ηλεκτρονικού περιβάλλοντος για τα τελωνεία στην Κοινότητα. Ο κανονισμός (ΕΟΚ) αριθ. 2913/92 του Συμβουλίου, της 12ης Οκτωβρίου 1992, περί θεσπίσεως κοινοτικού τελωνειακού κώδικα (</w:t>
      </w:r>
      <w:r>
        <w:rPr>
          <w:sz w:val="30"/>
          <w:szCs w:val="30"/>
          <w:vertAlign w:val="superscript"/>
          <w:lang w:val="el" w:eastAsia="el"/>
        </w:rPr>
        <w:t>5</w:t>
      </w:r>
      <w:r>
        <w:rPr>
          <w:lang w:val="el" w:eastAsia="el"/>
        </w:rPr>
        <w:t>), απαιτεί τη χρήση μηχανογραφικών τεχνικών για την κατάθεση συνοπτικών διασαφήσεων και την ηλεκτρονική ανταλλαγή δεδομένων μεταξύ τελωνειακών αρχών, ούτως ώστε οι τελωνειακοί έλεγχοι να βασίζονται σε αυτόματα συστήματα ανάλυσης κινδύνου.</w:t>
      </w:r>
    </w:p>
    <w:p>
      <w:pPr>
        <w:pStyle w:val="PreambelText"/>
        <w:spacing w:before="240" w:after="240"/>
        <w:rPr>
          <w:lang w:val="el" w:eastAsia="el"/>
        </w:rPr>
      </w:pPr>
      <w:r>
        <w:rPr>
          <w:lang w:val="el" w:eastAsia="el"/>
        </w:rPr>
        <w:t>(4) Συνεπώς, είναι ανάγκη να καθοριστούν οι στόχοι που πρέπει να επιτευχθούν με τη δημιουργία περιβάλλοντος χωρίς χαρτί για τα τελωνεία και το εμπόριο, καθώς και η δομή, τα μέσα και οι προθεσμίες για την επίτευξη των στόχων αυτών.</w:t>
      </w:r>
    </w:p>
    <w:p>
      <w:pPr>
        <w:pStyle w:val="PreambelText"/>
        <w:spacing w:before="240" w:after="240"/>
        <w:rPr>
          <w:lang w:val="el" w:eastAsia="el"/>
        </w:rPr>
      </w:pPr>
      <w:r>
        <w:rPr>
          <w:lang w:val="el" w:eastAsia="el"/>
        </w:rPr>
        <w:t>(5) H Επιτροπή θα πρέπει να εφαρμόσει την παρούσα απόφαση σε στενή συνεργασία με τα κράτη μέλη. Επομένως, είναι ανάγκη να διευκρινιστούν οι εκατέρωθεν ευθύνες και καθήκοντα και να θεσπιστούν διατάξεις περί επιμερισμού των δαπανών μεταξύ της Επιτροπής και των κρατών μελών.</w:t>
      </w:r>
    </w:p>
    <w:p>
      <w:pPr>
        <w:pStyle w:val="PreambelText"/>
        <w:spacing w:before="240" w:after="240"/>
        <w:rPr>
          <w:lang w:val="el" w:eastAsia="el"/>
        </w:rPr>
      </w:pPr>
      <w:r>
        <w:rPr>
          <w:lang w:val="el" w:eastAsia="el"/>
        </w:rPr>
        <w:t>(4) ΕΕ C 305 της 16.12.2003, σ.1.</w:t>
      </w:r>
    </w:p>
    <w:p>
      <w:pPr>
        <w:pStyle w:val="PreambelText"/>
        <w:spacing w:before="240" w:after="240"/>
        <w:rPr>
          <w:lang w:val="el" w:eastAsia="el"/>
        </w:rPr>
      </w:pPr>
      <w:r>
        <w:rPr>
          <w:lang w:val="el" w:eastAsia="el"/>
        </w:rPr>
        <w:t>(5) ΕΕ L 302 της 19.10.1992, σ. 1. Κανονισμός όπως τροποποιήθηκε τελευταία με τον κανονισμό (ΕΚ) αριθ. 1791/2006 (ΕΕ L 363 της 20.12.2006, σ. 1).</w:t>
      </w:r>
    </w:p>
    <w:p>
      <w:pPr>
        <w:pStyle w:val="PreambelText"/>
        <w:spacing w:before="240" w:after="240"/>
        <w:rPr>
          <w:lang w:val="el" w:eastAsia="el"/>
        </w:rPr>
      </w:pPr>
      <w:r>
        <w:rPr>
          <w:lang w:val="el" w:eastAsia="el"/>
        </w:rPr>
        <w:t>(6) Η Επιτροπή και τα κράτη μέλη θα πρέπει να αναλάβουν από κοινού την ευθύνη των κοινοτικών και εθνικών στοιχείων των συστημάτων επικοινωνίας και ανταλλαγής πληροφοριών, σύμφωνα με τις αρχές που καθορίζονται στην απόφαση αριθ. 253/2003/ΕΚ του Ευρωπαϊκού Κοινοβουλίου και του Συμβουλίου, της 6ης Φεβρουαρίου 2003, για τη θέσπιση προγράμματος δράσης για τα τελωνεία στην Κοινότητα (Τελωνεία 2007) (</w:t>
      </w:r>
      <w:r>
        <w:rPr>
          <w:sz w:val="30"/>
          <w:szCs w:val="30"/>
          <w:vertAlign w:val="superscript"/>
          <w:lang w:val="el" w:eastAsia="el"/>
        </w:rPr>
        <w:t>1</w:t>
      </w:r>
      <w:r>
        <w:rPr>
          <w:lang w:val="el" w:eastAsia="el"/>
        </w:rPr>
        <w:t>) και λαμβάνοντας υπόψη την απόφαση αριθ. 2235/2002/ΕΚ του Ευρωπαϊκού Κοινοβουλίου και του Συμβουλίου, της 3ης Δεκεμβρίου 2002 σχετικά με τη θέσπιση κοινοτικού προγράμματος για τη βελτίωση της λειτουργίας των φορολογικών συστημάτων στην εσωτερική αγορά (πρόγραμμα Fiscalis 2003-2007) (</w:t>
      </w:r>
      <w:r>
        <w:rPr>
          <w:sz w:val="30"/>
          <w:szCs w:val="30"/>
          <w:vertAlign w:val="superscript"/>
          <w:lang w:val="el" w:eastAsia="el"/>
        </w:rPr>
        <w:t>2</w:t>
      </w:r>
      <w:r>
        <w:rPr>
          <w:lang w:val="el" w:eastAsia="el"/>
        </w:rPr>
        <w:t>).</w:t>
      </w:r>
    </w:p>
    <w:p>
      <w:pPr>
        <w:pStyle w:val="PreambelText"/>
        <w:spacing w:before="240" w:after="240"/>
        <w:rPr>
          <w:lang w:val="el" w:eastAsia="el"/>
        </w:rPr>
      </w:pPr>
      <w:r>
        <w:rPr>
          <w:lang w:val="el" w:eastAsia="el"/>
        </w:rPr>
        <w:t>(7) Για να διασφαλιστεί η τήρηση της παρούσας απόφασης και η συνοχή μεταξύ των διαφόρων συστημάτων που θα αναπτυχθούν, χρειάζεται ένας μηχανισμός παρακολούθησης.</w:t>
      </w:r>
    </w:p>
    <w:p>
      <w:pPr>
        <w:pStyle w:val="PreambelText"/>
        <w:spacing w:before="240" w:after="240"/>
        <w:rPr>
          <w:lang w:val="el" w:eastAsia="el"/>
        </w:rPr>
      </w:pPr>
      <w:r>
        <w:rPr>
          <w:lang w:val="el" w:eastAsia="el"/>
        </w:rPr>
        <w:t>(8) Τακτικές εκθέσεις των κρατών μελών και της Επιτροπής θα πρέπει να παρέχουν πληροφορίες σχετικά με την πρόοδο της εφαρμογής της παρούσας απόφασης.</w:t>
      </w:r>
    </w:p>
    <w:p>
      <w:pPr>
        <w:pStyle w:val="PreambelText"/>
        <w:spacing w:before="240" w:after="240"/>
        <w:rPr>
          <w:lang w:val="el" w:eastAsia="el"/>
        </w:rPr>
      </w:pPr>
      <w:r>
        <w:rPr>
          <w:lang w:val="el" w:eastAsia="el"/>
        </w:rPr>
        <w:t>(13) Ειδικότερα, θα πρέπει να ανατεθεί στην Επιτροπή η εξουσία να παρατείνει τις προθεσμίες που προβλέπονται στο άρθρο 4 παράγραφοι 2, 3 και 5 της παρούσας απόφασης. Δεδομένου ότι τα μέτρα αυτά είναι γενικής εμβέλειας και έχουν ως αντικείμενο να τροποποιήσουν μη ουσιώδη στοιχεία της παρούσας απόφασης, θεσπίζονται σύμφωνα με την κανονιστική διαδικασία με έλεγχο του άρθρου 5α της απόφασης 1999/468/ΕΚ του Συμβουλίου,</w:t>
      </w:r>
    </w:p>
    <w:p>
      <w:pPr>
        <w:pStyle w:val="PreambelText"/>
        <w:spacing w:before="240" w:after="240"/>
        <w:rPr>
          <w:lang w:val="el" w:eastAsia="el"/>
        </w:rPr>
      </w:pPr>
      <w:r>
        <w:rPr>
          <w:lang w:val="el" w:eastAsia="el"/>
        </w:rPr>
        <w:t>ΕΞΕΔΩΣΑΝ ΤΗΝ ΠΑΡΟΥΣΑ ΑΠΟΦΑΣΗ:</w:t>
      </w:r>
    </w:p>
    <w:p>
      <w:pPr>
        <w:pStyle w:val="Heading6"/>
        <w:spacing w:before="240" w:after="240"/>
        <w:rPr>
          <w:lang w:val="el" w:eastAsia="el"/>
        </w:rPr>
      </w:pPr>
      <w:r>
        <w:rPr>
          <w:i/>
          <w:iCs/>
          <w:lang w:val="el" w:eastAsia="el"/>
        </w:rPr>
        <w:t>Άρθρο 1</w:t>
      </w:r>
    </w:p>
    <w:p>
      <w:pPr>
        <w:pStyle w:val="Heading6"/>
        <w:spacing w:before="240" w:after="240"/>
        <w:rPr>
          <w:lang w:val="el" w:eastAsia="el"/>
        </w:rPr>
      </w:pPr>
      <w:r>
        <w:rPr>
          <w:b/>
          <w:bCs/>
          <w:lang w:val="el" w:eastAsia="el"/>
        </w:rPr>
        <w:t>Ηλεκτρονικά τελωνειακά συστήματα</w:t>
      </w:r>
    </w:p>
    <w:p>
      <w:pPr>
        <w:spacing w:before="240" w:after="240"/>
        <w:rPr>
          <w:lang w:val="el" w:eastAsia="el"/>
        </w:rPr>
      </w:pPr>
      <w:r>
        <w:rPr>
          <w:lang w:val="el" w:eastAsia="el"/>
        </w:rPr>
        <w:t>Η Επιτροπή και τα κράτη μέλη δημιουργούν ασφαλή, ολοκληρωμένα, διαλειτουργικά και προσβάσιμα ηλεκτρονικά τελωνειακά συστήματα για την ανταλλαγή δεδομένων που περιλαμβάνονται σε τελωνειακές διασαφήσεις, σε έγγραφα που συνοδεύουν τις τελωνεια- κές διασαφήσεις, σε πιστοποιητικά, καθώς και για την ανταλλαγή άλλων σχετικών πληροφοριών.</w:t>
      </w:r>
    </w:p>
    <w:p>
      <w:pPr>
        <w:spacing w:before="240" w:after="240"/>
        <w:rPr>
          <w:lang w:val="el" w:eastAsia="el"/>
        </w:rPr>
      </w:pPr>
      <w:r>
        <w:rPr>
          <w:lang w:val="el" w:eastAsia="el"/>
        </w:rPr>
        <w:t>(9) Για να επιτευχθεί ένα περιβάλλον χωρίς χαρτί, απαιτείται στενή συνεργασία μεταξύ της Επιτροπής, των τελωνειακών αρχών και των οικονομικών φορέων. Για να διευκολυνθεί η συνεργασία αυτή, η ομάδα τελωνειακής πολιτικής θα πρέπει να διασφαλίσει το συντονισμό των δραστηριοτήτων εφαρμογής της παρούσας απόφασης. Θα πρέπει να ζητηθεί η γνώμη των οικονομικών φορέων, τόσο σε εθνικό όσο και σε κοινοτικό επίπεδο, σε όλα τα στάδια προετοιμασίας των εν λόγω δραστηριοτήτων.</w:t>
      </w:r>
    </w:p>
    <w:p>
      <w:pPr>
        <w:spacing w:before="240" w:after="240"/>
        <w:rPr>
          <w:lang w:val="el" w:eastAsia="el"/>
        </w:rPr>
      </w:pPr>
      <w:r>
        <w:rPr>
          <w:lang w:val="el" w:eastAsia="el"/>
        </w:rPr>
        <w:t>(10) Οι προσχωρούσες και οι υποψήφιες χώρες θα πρέπει να έχουν τη δυνατότητα να συμμετάσχουν στις δραστηριότητες αυτές ώστε να προετοιμαστούν για την προσχώρηση.</w:t>
      </w:r>
    </w:p>
    <w:p>
      <w:pPr>
        <w:spacing w:before="240" w:after="240"/>
        <w:rPr>
          <w:lang w:val="el" w:eastAsia="el"/>
        </w:rPr>
      </w:pPr>
      <w:r>
        <w:rPr>
          <w:lang w:val="el" w:eastAsia="el"/>
        </w:rPr>
        <w:t>(11) Δεδομένου ότι ο στόχος της παρούσας απόφασης, ήτοι η δημιουργία περιβάλλοντος χωρίς χαρτί για τα τελωνεία και τις εμπορικές επιχειρήσεις, δεν είναι δυνατό να επιτευχθεί επαρκώς από τα κράτη μέλη, και μπορεί, λόγω των διαστάσεων και των αποτελεσμάτων της, να επιτευχθεί καλύτερα σε κοινοτικό επίπεδο, η Κοινότητα μπορεί να λάβει μέτρα σύμφωνα με την αρχή της επικουρικότητας, η οποία ορίζεται στο άρθρο 5 της συνθήκης. Σύμφωνα με την αρχή της αναλογικότητας, όπως διατυπώνεται στο εν λόγω άρθρο, η παρούσα απόφαση δεν υπερβαίνει τα αναγκαία όρια για την επίτευξη του στόχου αυτού.</w:t>
      </w:r>
    </w:p>
    <w:p>
      <w:pPr>
        <w:spacing w:before="240" w:after="240"/>
        <w:rPr>
          <w:lang w:val="el" w:eastAsia="el"/>
        </w:rPr>
      </w:pPr>
      <w:r>
        <w:rPr>
          <w:lang w:val="el" w:eastAsia="el"/>
        </w:rPr>
        <w:t>(12) Τα απαραίτητα μέτρα για την εφαρμογή της παρούσας απόφασης θεσπίζονται σύμφωνα με την απόφαση 1999/468/ΕΚ του Συμβουλίου, της 28ης Ιουνίου 1999, περί καθορισμού των όρων άσκησης των εκτελεστικών αρμοδιοτήτων που ανατίθενται στην Επιτροπή (</w:t>
      </w:r>
      <w:r>
        <w:rPr>
          <w:sz w:val="30"/>
          <w:szCs w:val="30"/>
          <w:vertAlign w:val="superscript"/>
          <w:lang w:val="el" w:eastAsia="el"/>
        </w:rPr>
        <w:t>3</w:t>
      </w:r>
      <w:r>
        <w:rPr>
          <w:lang w:val="el" w:eastAsia="el"/>
        </w:rPr>
        <w:t>).</w:t>
      </w:r>
    </w:p>
    <w:p>
      <w:pPr>
        <w:spacing w:before="240" w:after="240"/>
        <w:rPr>
          <w:lang w:val="el" w:eastAsia="el"/>
        </w:rPr>
      </w:pPr>
      <w:r>
        <w:rPr>
          <w:lang w:val="el" w:eastAsia="el"/>
        </w:rPr>
        <w:t>(1) ΕΕ L 36 της 12.2.2003, σ. 1. Απόφαση όπως τροποποιήθηκε με την απόφαση αριθ. 787/2004/ΕΚ (ΕΕ L 138 της 30.4.2004, σ. 12).</w:t>
      </w:r>
    </w:p>
    <w:p>
      <w:pPr>
        <w:spacing w:before="240" w:after="240"/>
        <w:rPr>
          <w:lang w:val="el" w:eastAsia="el"/>
        </w:rPr>
      </w:pPr>
      <w:r>
        <w:rPr>
          <w:lang w:val="el" w:eastAsia="el"/>
        </w:rPr>
        <w:t>(2) EE L 341 της 17.12.2002, σ. 1. Απόφαση όπως τροποποιήθηκε με τον κανονισμό (ΕΚ) αριθ. 885/2004 του Συμβουλίου (ΕΕ L 168 της 1.5.2004, σ. 1).</w:t>
      </w:r>
    </w:p>
    <w:p>
      <w:pPr>
        <w:spacing w:before="240" w:after="240"/>
        <w:rPr>
          <w:lang w:val="el" w:eastAsia="el"/>
        </w:rPr>
      </w:pPr>
      <w:r>
        <w:rPr>
          <w:lang w:val="el" w:eastAsia="el"/>
        </w:rPr>
        <w:t>(3) ΕΕ L 184 της 17.7.1999, σ. 23. Απόφαση όπως τροποποιήθηκε με την απόφαση 2006/512/ΕΚ (ΕΕ L 200 της 22.7.2006, σ. 11).</w:t>
      </w:r>
    </w:p>
    <w:p>
      <w:pPr>
        <w:spacing w:before="240" w:after="240"/>
        <w:rPr>
          <w:lang w:val="el" w:eastAsia="el"/>
        </w:rPr>
      </w:pPr>
      <w:r>
        <w:rPr>
          <w:lang w:val="el" w:eastAsia="el"/>
        </w:rPr>
        <w:t>Η Επιτροπή και τα κράτη μέλη παρέχουν το πλαίσιο και τα μέσα που απαιτούνται για τη λειτουργία των εν λόγω ηλεκτρονικών τελωνειακών συστημάτων.</w:t>
      </w:r>
    </w:p>
    <w:p>
      <w:pPr>
        <w:pStyle w:val="Heading6"/>
        <w:spacing w:before="240" w:after="240"/>
        <w:rPr>
          <w:lang w:val="el" w:eastAsia="el"/>
        </w:rPr>
      </w:pPr>
      <w:r>
        <w:rPr>
          <w:i/>
          <w:iCs/>
          <w:lang w:val="el" w:eastAsia="el"/>
        </w:rPr>
        <w:t>Άρθρο 2</w:t>
      </w:r>
    </w:p>
    <w:p>
      <w:pPr>
        <w:pStyle w:val="Heading6"/>
        <w:spacing w:before="240" w:after="240"/>
        <w:rPr>
          <w:lang w:val="el" w:eastAsia="el"/>
        </w:rPr>
      </w:pPr>
      <w:r>
        <w:rPr>
          <w:b/>
          <w:bCs/>
          <w:lang w:val="el" w:eastAsia="el"/>
        </w:rPr>
        <w:t>Στόχοι</w:t>
      </w:r>
    </w:p>
    <w:p>
      <w:pPr>
        <w:pStyle w:val="MainText"/>
        <w:spacing w:before="120" w:after="0"/>
        <w:rPr>
          <w:lang w:val="el" w:eastAsia="el"/>
        </w:rPr>
      </w:pPr>
      <w:r>
        <w:rPr>
          <w:b/>
          <w:bCs/>
          <w:lang w:val="el" w:eastAsia="el"/>
        </w:rPr>
        <w:t>1.</w:t>
      </w:r>
      <w:r>
        <w:rPr>
          <w:lang w:val="el" w:eastAsia="el"/>
        </w:rPr>
        <w:t xml:space="preserve"> Τα ηλεκτρονικά τελωνειακά συστήματα του άρθρου 1 είναι σχεδιασμένα για την επίτευξη των ακόλουθων στόχων:</w:t>
      </w:r>
    </w:p>
    <w:p>
      <w:pPr>
        <w:pStyle w:val="StructureList1"/>
        <w:spacing w:before="120" w:after="0"/>
        <w:rPr>
          <w:lang w:val="el" w:eastAsia="el"/>
        </w:rPr>
      </w:pPr>
      <w:r>
        <w:rPr>
          <w:lang w:val="el" w:eastAsia="el"/>
        </w:rPr>
        <w:t>α)</w:t>
      </w:r>
      <w:r>
        <w:rPr>
          <w:lang w:val="en" w:eastAsia="en"/>
        </w:rPr>
        <w:tab/>
      </w:r>
      <w:r>
        <w:rPr>
          <w:lang w:val="el" w:eastAsia="el"/>
        </w:rPr>
        <w:t>να διευκολύνουν τις διαδικασίες εισαγωγής και εξαγωγής·</w:t>
      </w:r>
    </w:p>
    <w:p>
      <w:pPr>
        <w:pStyle w:val="StructureList1"/>
        <w:spacing w:before="120" w:after="0"/>
        <w:rPr>
          <w:lang w:val="el" w:eastAsia="el"/>
        </w:rPr>
      </w:pPr>
      <w:r>
        <w:rPr>
          <w:lang w:val="el" w:eastAsia="el"/>
        </w:rPr>
        <w:t>β)</w:t>
      </w:r>
      <w:r>
        <w:rPr>
          <w:lang w:val="en" w:eastAsia="en"/>
        </w:rPr>
        <w:tab/>
      </w:r>
      <w:r>
        <w:rPr>
          <w:lang w:val="el" w:eastAsia="el"/>
        </w:rPr>
        <w:t>να μειώνουν το κόστος συμμόρφωσης και τις διοικητικές δαπάνες και να επισπεύδουν τους χρόνους εκτελωνισμού·</w:t>
      </w:r>
    </w:p>
    <w:p>
      <w:pPr>
        <w:pStyle w:val="StructureList1"/>
        <w:spacing w:before="120" w:after="0"/>
        <w:rPr>
          <w:lang w:val="el" w:eastAsia="el"/>
        </w:rPr>
      </w:pPr>
      <w:r>
        <w:rPr>
          <w:lang w:val="el" w:eastAsia="el"/>
        </w:rPr>
        <w:t>γ)</w:t>
      </w:r>
      <w:r>
        <w:rPr>
          <w:lang w:val="en" w:eastAsia="en"/>
        </w:rPr>
        <w:tab/>
      </w:r>
      <w:r>
        <w:rPr>
          <w:lang w:val="el" w:eastAsia="el"/>
        </w:rPr>
        <w:t>να συντονίζουν μια κοινή προσέγγιση για τον έλεγχο των εμπο- ρευμάτων·</w:t>
      </w:r>
    </w:p>
    <w:p>
      <w:pPr>
        <w:pStyle w:val="StructureList1"/>
        <w:spacing w:before="120" w:after="0"/>
        <w:rPr>
          <w:lang w:val="el" w:eastAsia="el"/>
        </w:rPr>
      </w:pPr>
      <w:r>
        <w:rPr>
          <w:lang w:val="el" w:eastAsia="el"/>
        </w:rPr>
        <w:t>δ)</w:t>
      </w:r>
      <w:r>
        <w:rPr>
          <w:lang w:val="en" w:eastAsia="en"/>
        </w:rPr>
        <w:tab/>
      </w:r>
      <w:r>
        <w:rPr>
          <w:lang w:val="el" w:eastAsia="el"/>
        </w:rPr>
        <w:t>να συμβάλλουν στη δέουσα είσπραξη όλων των δασμών και λοιπών επιβαρύνσεων·</w:t>
      </w:r>
    </w:p>
    <w:p>
      <w:pPr>
        <w:pStyle w:val="StructureList1"/>
        <w:spacing w:before="120" w:after="0"/>
        <w:rPr>
          <w:lang w:val="el" w:eastAsia="el"/>
        </w:rPr>
      </w:pPr>
      <w:r>
        <w:rPr>
          <w:lang w:val="el" w:eastAsia="el"/>
        </w:rPr>
        <w:t>ε)</w:t>
      </w:r>
      <w:r>
        <w:rPr>
          <w:lang w:val="en" w:eastAsia="en"/>
        </w:rPr>
        <w:tab/>
      </w:r>
      <w:r>
        <w:rPr>
          <w:lang w:val="el" w:eastAsia="el"/>
        </w:rPr>
        <w:t>να εξασφαλίζουν την ταχεία διαβίβαση και λήψη των κατάλληλων πληροφοριών όσον αφορά τη διεθνή αλυσίδα εφοδιασμού·</w:t>
      </w:r>
    </w:p>
    <w:p>
      <w:pPr>
        <w:pStyle w:val="StructureList1"/>
        <w:spacing w:before="120" w:after="0"/>
        <w:rPr>
          <w:lang w:val="el" w:eastAsia="el"/>
        </w:rPr>
      </w:pPr>
      <w:r>
        <w:rPr>
          <w:lang w:val="el" w:eastAsia="el"/>
        </w:rPr>
        <w:t>στ)</w:t>
      </w:r>
      <w:r>
        <w:rPr>
          <w:lang w:val="en" w:eastAsia="en"/>
        </w:rPr>
        <w:tab/>
      </w:r>
      <w:r>
        <w:rPr>
          <w:lang w:val="el" w:eastAsia="el"/>
        </w:rPr>
        <w:t>να επιτρέπουν την απρόσκοπτη ροή δεδομένων μεταξύ των αρχών των χωρών εξαγωγής και εισαγωγής καθώς και μεταξύ των τελωνειακών αρχών και των οικονομικών φορέων, χάρη στην επαναχρησιμοποίηση των δεδομένων που καταχωρίζονται στο σύστημα.</w:t>
      </w:r>
    </w:p>
    <w:p>
      <w:pPr>
        <w:spacing w:before="240" w:after="240"/>
        <w:rPr>
          <w:lang w:val="el" w:eastAsia="el"/>
        </w:rPr>
      </w:pPr>
      <w:r>
        <w:rPr>
          <w:lang w:val="el" w:eastAsia="el"/>
        </w:rPr>
        <w:t>Η ολοκλήρωση και η εξέλιξη των ηλεκτρονικών τελωνειακών συστημάτων πρέπει να είναι ανάλογες προς τους στόχους του πρώτου εδαφίου.</w:t>
      </w:r>
    </w:p>
    <w:p>
      <w:pPr>
        <w:pStyle w:val="MainText"/>
        <w:spacing w:before="120" w:after="0"/>
        <w:rPr>
          <w:lang w:val="el" w:eastAsia="el"/>
        </w:rPr>
      </w:pPr>
      <w:r>
        <w:rPr>
          <w:b/>
          <w:bCs/>
          <w:lang w:val="el" w:eastAsia="el"/>
        </w:rPr>
        <w:t>2.</w:t>
      </w:r>
      <w:r>
        <w:rPr>
          <w:lang w:val="el" w:eastAsia="el"/>
        </w:rPr>
        <w:t xml:space="preserve"> Η επίτευξη των στόχων του πρώτου εδαφίου της παραγράφου 1 θα πραγματοποιηθεί με τα ακόλουθα τουλάχιστον μέσα:</w:t>
      </w:r>
    </w:p>
    <w:p>
      <w:pPr>
        <w:pStyle w:val="StructureList1"/>
        <w:spacing w:before="120" w:after="0"/>
        <w:rPr>
          <w:lang w:val="el" w:eastAsia="el"/>
        </w:rPr>
      </w:pPr>
      <w:r>
        <w:rPr>
          <w:lang w:val="el" w:eastAsia="el"/>
        </w:rPr>
        <w:t>α)</w:t>
      </w:r>
      <w:r>
        <w:rPr>
          <w:lang w:val="en" w:eastAsia="en"/>
        </w:rPr>
        <w:tab/>
      </w:r>
      <w:r>
        <w:rPr>
          <w:lang w:val="el" w:eastAsia="el"/>
        </w:rPr>
        <w:t>εναρμόνιση της ανταλλαγής πληροφοριών με βάση διεθνώς αποδεκτά μοντέλα δεδομένων και μορφότυπους μηνυμάτων·</w:t>
      </w:r>
    </w:p>
    <w:p>
      <w:pPr>
        <w:pStyle w:val="StructureList1"/>
        <w:spacing w:before="120" w:after="0"/>
        <w:rPr>
          <w:lang w:val="el" w:eastAsia="el"/>
        </w:rPr>
      </w:pPr>
      <w:r>
        <w:rPr>
          <w:lang w:val="el" w:eastAsia="el"/>
        </w:rPr>
        <w:t>β)</w:t>
      </w:r>
      <w:r>
        <w:rPr>
          <w:lang w:val="en" w:eastAsia="en"/>
        </w:rPr>
        <w:tab/>
      </w:r>
      <w:r>
        <w:rPr>
          <w:lang w:val="el" w:eastAsia="el"/>
        </w:rPr>
        <w:t>αναδιοργάνωση των τελωνειακών και των σχετικών με τα τελωνεία διαδικασιών με σκοπό τη βελτιστοποίηση της αποδοτικότη- τας και αποτελεσματικότητάς τους, την απλούστευσή τους καθώς και τη μείωση του κόστους συμμόρφωσης προς τις τελω- νειακές ρυθμίσεις·</w:t>
      </w:r>
    </w:p>
    <w:p>
      <w:pPr>
        <w:pStyle w:val="StructureList1"/>
        <w:spacing w:before="120" w:after="0"/>
        <w:rPr>
          <w:lang w:val="el" w:eastAsia="el"/>
        </w:rPr>
      </w:pPr>
      <w:r>
        <w:rPr>
          <w:lang w:val="el" w:eastAsia="el"/>
        </w:rPr>
        <w:t>γ)</w:t>
      </w:r>
      <w:r>
        <w:rPr>
          <w:lang w:val="en" w:eastAsia="en"/>
        </w:rPr>
        <w:tab/>
      </w:r>
      <w:r>
        <w:rPr>
          <w:lang w:val="el" w:eastAsia="el"/>
        </w:rPr>
        <w:t>παροχή στους οικονομικούς φορείς ενός ευρέος φάσματος ηλεκτρονικών τελωνειακών υπηρεσιών χάρη στις οποίες οι φορείς αυτοί θα μπορούν να επικοινωνούν κατά τον ίδιο ακριβώς τρόπο με τις τελωνειακές αρχές οποιουδήποτε κράτους μέλους.</w:t>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Κοινότητα ενθαρρύνει τη διαλειτουργικότητα μεταξύ των ηλεκτρονικών τελωνειακών συστημάτων και των τελωνειακών συστημάτων τρίτων χωρών ή διεθνών οργανισμών καθώς και τη δυνατότητα πρόσβασης των οικονομικών φορέων των εν λόγω χωρών στα συστήματα αυτά με σκοπό να δημιουργήσει, σε διεθνές επίπεδο, ένα περιβάλλον χωρίς χαρτί, όπου προβλέπεται από τις διεθνείς συμφωνίες και με την επιφύλαξη των κατάλληλων οικονομικών ρυθμίσεων.</w:t>
      </w:r>
    </w:p>
    <w:p>
      <w:pPr>
        <w:pStyle w:val="Heading6"/>
        <w:spacing w:before="240" w:after="240"/>
        <w:rPr>
          <w:lang w:val="el" w:eastAsia="el"/>
        </w:rPr>
      </w:pPr>
      <w:r>
        <w:rPr>
          <w:i/>
          <w:iCs/>
          <w:lang w:val="el" w:eastAsia="el"/>
        </w:rPr>
        <w:t>Άρθρο 3</w:t>
      </w:r>
    </w:p>
    <w:p>
      <w:pPr>
        <w:pStyle w:val="Heading6"/>
        <w:spacing w:before="240" w:after="240"/>
        <w:rPr>
          <w:lang w:val="el" w:eastAsia="el"/>
        </w:rPr>
      </w:pPr>
      <w:r>
        <w:rPr>
          <w:b/>
          <w:bCs/>
          <w:lang w:val="el" w:eastAsia="el"/>
        </w:rPr>
        <w:t>Ανταλλαγή δεδομένων</w:t>
      </w:r>
    </w:p>
    <w:p>
      <w:pPr>
        <w:pStyle w:val="MainText"/>
        <w:spacing w:before="120" w:after="0"/>
        <w:rPr>
          <w:lang w:val="el" w:eastAsia="el"/>
        </w:rPr>
      </w:pPr>
      <w:r>
        <w:rPr>
          <w:b/>
          <w:bCs/>
          <w:lang w:val="el" w:eastAsia="el"/>
        </w:rPr>
        <w:t>1.</w:t>
      </w:r>
      <w:r>
        <w:rPr>
          <w:lang w:val="el" w:eastAsia="el"/>
        </w:rPr>
        <w:t xml:space="preserve"> Τα ηλεκτρονικά τελωνειακά συστήματα της Κοινότητας και των κρατών μελών πρέπει να επιτρέπουν την ανταλλαγή δεδομένων μεταξύ των τελωνειακών αρχών των κρατών μελών και μεταξύ των εν λόγω αρχών και:</w:t>
      </w:r>
    </w:p>
    <w:p>
      <w:pPr>
        <w:pStyle w:val="StructureList1"/>
        <w:spacing w:before="120" w:after="0"/>
        <w:rPr>
          <w:lang w:val="el" w:eastAsia="el"/>
        </w:rPr>
      </w:pPr>
      <w:r>
        <w:rPr>
          <w:lang w:val="el" w:eastAsia="el"/>
        </w:rPr>
        <w:t>α)</w:t>
      </w:r>
      <w:r>
        <w:rPr>
          <w:lang w:val="en" w:eastAsia="en"/>
        </w:rPr>
        <w:tab/>
      </w:r>
      <w:r>
        <w:rPr>
          <w:lang w:val="el" w:eastAsia="el"/>
        </w:rPr>
        <w:t>των οικονομικών φορέων·</w:t>
      </w:r>
    </w:p>
    <w:p>
      <w:pPr>
        <w:pStyle w:val="StructureList1"/>
        <w:spacing w:before="120" w:after="0"/>
        <w:rPr>
          <w:lang w:val="el" w:eastAsia="el"/>
        </w:rPr>
      </w:pPr>
      <w:r>
        <w:rPr>
          <w:lang w:val="el" w:eastAsia="el"/>
        </w:rPr>
        <w:t>β)</w:t>
      </w:r>
      <w:r>
        <w:rPr>
          <w:lang w:val="en" w:eastAsia="en"/>
        </w:rPr>
        <w:tab/>
      </w:r>
      <w:r>
        <w:rPr>
          <w:lang w:val="el" w:eastAsia="el"/>
        </w:rPr>
        <w:t>της Επιτροπής·</w:t>
      </w:r>
    </w:p>
    <w:p>
      <w:pPr>
        <w:pStyle w:val="StructureList1"/>
        <w:spacing w:before="120" w:after="0"/>
        <w:rPr>
          <w:lang w:val="el" w:eastAsia="el"/>
        </w:rPr>
      </w:pPr>
      <w:r>
        <w:rPr>
          <w:lang w:val="el" w:eastAsia="el"/>
        </w:rPr>
        <w:t>γ)</w:t>
      </w:r>
      <w:r>
        <w:rPr>
          <w:lang w:val="en" w:eastAsia="en"/>
        </w:rPr>
        <w:tab/>
      </w:r>
      <w:r>
        <w:rPr>
          <w:lang w:val="el" w:eastAsia="el"/>
        </w:rPr>
        <w:t>άλλων διοικήσεων ή επίσημων οργανισμών που συμμετέχουν στη διεθνή κυκλοφορία εμπορευμάτων, εφεξής καλούμενες «άλλες διοικήσεις ή οργανισμοί».</w:t>
      </w:r>
    </w:p>
    <w:p>
      <w:pPr>
        <w:pStyle w:val="MainText"/>
        <w:spacing w:before="120" w:after="0"/>
        <w:rPr>
          <w:lang w:val="el" w:eastAsia="el"/>
        </w:rPr>
      </w:pPr>
      <w:r>
        <w:rPr>
          <w:b/>
          <w:bCs/>
          <w:lang w:val="el" w:eastAsia="el"/>
        </w:rPr>
        <w:t>2.</w:t>
      </w:r>
      <w:r>
        <w:rPr>
          <w:lang w:val="el" w:eastAsia="el"/>
        </w:rPr>
        <w:t xml:space="preserve"> Οποιαδήποτε αποκάλυψη ή κοινοποίηση δεδομένων πρέπει να τηρεί πλήρως τις ισχύουσες διατάξεις περί προστασίας δεδομένων, ιδίως 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r>
        <w:rPr>
          <w:sz w:val="30"/>
          <w:szCs w:val="30"/>
          <w:vertAlign w:val="superscript"/>
          <w:lang w:val="el" w:eastAsia="el"/>
        </w:rPr>
        <w:t>1</w:t>
      </w:r>
      <w:r>
        <w:rPr>
          <w:lang w:val="el" w:eastAsia="el"/>
        </w:rPr>
        <w:t>) και τον κανονισμό (ΕΚ) αριθ. 45/2001 του Ευρωπαϊκού Κοινοβουλίου και 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w:t>
      </w:r>
      <w:r>
        <w:rPr>
          <w:sz w:val="30"/>
          <w:szCs w:val="30"/>
          <w:vertAlign w:val="superscript"/>
          <w:lang w:val="el" w:eastAsia="el"/>
        </w:rPr>
        <w:t>2</w:t>
      </w:r>
      <w:r>
        <w:rPr>
          <w:lang w:val="el" w:eastAsia="el"/>
        </w:rPr>
        <w:t>).</w:t>
      </w:r>
    </w:p>
    <w:p>
      <w:pPr>
        <w:spacing w:before="240" w:after="240"/>
        <w:rPr>
          <w:lang w:val="el" w:eastAsia="el"/>
        </w:rPr>
      </w:pPr>
      <w:r>
        <w:rPr>
          <w:lang w:val="el" w:eastAsia="el"/>
        </w:rPr>
        <w:t>(1) ΕΕ L 281 της 23.11.1995, σ. 31. Οδηγία όπως τροποποιήθηκε με τον κανονισμό (ΕΚ) αριθ. 1882/2003 (ΕΕ L 284 της 31.10.2003, σ. 1). (</w:t>
      </w:r>
      <w:r>
        <w:rPr>
          <w:sz w:val="30"/>
          <w:szCs w:val="30"/>
          <w:vertAlign w:val="superscript"/>
          <w:lang w:val="el" w:eastAsia="el"/>
        </w:rPr>
        <w:t>2</w:t>
      </w:r>
      <w:r>
        <w:rPr>
          <w:lang w:val="el" w:eastAsia="el"/>
        </w:rPr>
        <w:t>) ΕΕ L 8 της 12.1.2001, σ. 1.</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b/>
          <w:bCs/>
          <w:lang w:val="el" w:eastAsia="el"/>
        </w:rPr>
        <w:t>Συστήματα, υπηρεσίες και προθεσμίες</w:t>
      </w:r>
    </w:p>
    <w:p>
      <w:pPr>
        <w:pStyle w:val="MainText"/>
        <w:spacing w:before="120" w:after="0"/>
        <w:rPr>
          <w:lang w:val="el" w:eastAsia="el"/>
        </w:rPr>
      </w:pPr>
      <w:r>
        <w:rPr>
          <w:b/>
          <w:bCs/>
          <w:lang w:val="el" w:eastAsia="el"/>
        </w:rPr>
        <w:t>1.</w:t>
      </w:r>
      <w:r>
        <w:rPr>
          <w:lang w:val="el" w:eastAsia="el"/>
        </w:rPr>
        <w:t xml:space="preserve"> Τα κράτη μέλη, σε συνεργασία με την Επιτροπή, θέτουν σε λειτουργία τα ακόλουθα ηλεκτρονικά τελωνειακά συστήματα σύμφωνα με τις απαιτήσεις και τις προθεσμίες που θέτει η ισχύουσα νομοθεσία:</w:t>
      </w:r>
    </w:p>
    <w:p>
      <w:pPr>
        <w:pStyle w:val="StructureList1"/>
        <w:spacing w:before="120" w:after="0"/>
        <w:rPr>
          <w:lang w:val="el" w:eastAsia="el"/>
        </w:rPr>
      </w:pPr>
      <w:r>
        <w:rPr>
          <w:lang w:val="el" w:eastAsia="el"/>
        </w:rPr>
        <w:t>α)</w:t>
      </w:r>
      <w:r>
        <w:rPr>
          <w:lang w:val="en" w:eastAsia="en"/>
        </w:rPr>
        <w:tab/>
      </w:r>
      <w:r>
        <w:rPr>
          <w:lang w:val="el" w:eastAsia="el"/>
        </w:rPr>
        <w:t>συστήματα για την εισαγωγή και εξαγωγή, τα οποία είναι δια- λειτουργικά με το σύστημα για τη διαμετακόμιση και επιτρέπουν την απρόσκοπτη ροή δεδομένων μεταξύ τελωνειακών συστημάτων σε ολόκληρη την Κοινότητα·</w:t>
      </w:r>
    </w:p>
    <w:p>
      <w:pPr>
        <w:pStyle w:val="StructureList1"/>
        <w:spacing w:before="120" w:after="0"/>
        <w:rPr>
          <w:lang w:val="el" w:eastAsia="el"/>
        </w:rPr>
      </w:pPr>
      <w:r>
        <w:rPr>
          <w:lang w:val="el" w:eastAsia="el"/>
        </w:rPr>
        <w:t>β)</w:t>
      </w:r>
      <w:r>
        <w:rPr>
          <w:lang w:val="en" w:eastAsia="en"/>
        </w:rPr>
        <w:tab/>
      </w:r>
      <w:r>
        <w:rPr>
          <w:lang w:val="el" w:eastAsia="el"/>
        </w:rPr>
        <w:t>σύστημα αναγνώρισης και καταχώρισης των οικονομικών φορέων, το οποίο είναι διαλειτουργικό με το σύστημα των εγκεκριμένων οικονομικών φορέων και επιτρέπει στους φορείς αυτούς να καταχωρίζονται άπαξ για όλες τις συναλλαγές τους με τις τελωνειακές αρχές σε ολόκληρη την Κοινότητα, λαμβάνο- ντας υπόψη τα ήδη υπάρχοντα κοινοτικά ή εθνικά συστήματα·</w:t>
      </w:r>
    </w:p>
    <w:p>
      <w:pPr>
        <w:pStyle w:val="StructureList1"/>
        <w:spacing w:before="120" w:after="0"/>
        <w:rPr>
          <w:lang w:val="el" w:eastAsia="el"/>
        </w:rPr>
      </w:pPr>
      <w:r>
        <w:rPr>
          <w:lang w:val="el" w:eastAsia="el"/>
        </w:rPr>
        <w:t>γ)</w:t>
      </w:r>
      <w:r>
        <w:rPr>
          <w:lang w:val="en" w:eastAsia="en"/>
        </w:rPr>
        <w:tab/>
      </w:r>
      <w:r>
        <w:rPr>
          <w:lang w:val="el" w:eastAsia="el"/>
        </w:rPr>
        <w:t>σύστημα για τη διαδικασία έγκρισης, συμπεριλαμβανομένης της διαδικασίας ενημέρωσης και διαβούλευσης, για τη διαχείριση των πιστοποιητικών των εγκεκριμένων οικονομικών φορέων καθώς και για την καταχώριση των πιστοποιητικών σε βάση δεδομένων προσιτή στις τελωνειακές αρχές.</w:t>
      </w:r>
    </w:p>
    <w:p>
      <w:pPr>
        <w:pStyle w:val="MainText"/>
        <w:spacing w:before="120" w:after="0"/>
        <w:rPr>
          <w:lang w:val="el" w:eastAsia="el"/>
        </w:rPr>
      </w:pPr>
      <w:r>
        <w:rPr>
          <w:b/>
          <w:bCs/>
          <w:lang w:val="el" w:eastAsia="el"/>
        </w:rPr>
        <w:t>2.</w:t>
      </w:r>
      <w:r>
        <w:rPr>
          <w:lang w:val="el" w:eastAsia="el"/>
        </w:rPr>
        <w:t xml:space="preserve"> Μέχρι τις 15 Φεβρουαρίου 2011, τα κράτη μέλη, σε συνεργασία με την Επιτροπή, δημιουργούν και θέτουν σε λειτουργία κοινές τελωνειακές διαδικτυακές πύλες που παρέχουν στους οικονομικούς φορείς τις πληροφορίες που είναι αναγκαίες για τις τελω- νειακές δραστηριότητες σε όλα τα κράτη μέλη.</w:t>
      </w:r>
    </w:p>
    <w:p>
      <w:pPr>
        <w:pStyle w:val="MainText"/>
        <w:spacing w:before="120" w:after="0"/>
        <w:rPr>
          <w:lang w:val="el" w:eastAsia="el"/>
        </w:rPr>
      </w:pPr>
      <w:r>
        <w:rPr>
          <w:b/>
          <w:bCs/>
          <w:lang w:val="el" w:eastAsia="el"/>
        </w:rPr>
        <w:t>3.</w:t>
      </w:r>
      <w:r>
        <w:rPr>
          <w:lang w:val="el" w:eastAsia="el"/>
        </w:rPr>
        <w:t xml:space="preserve"> Μέχρι τις 15 Φεβρουαρίου 2013, η Επιτροπή, σε συνεργασία με τα κράτη μέλη, δημιουργεί και θέτει σε λειτουργία ολοκληρωμένο δασμολογικό περιβάλλον που επιτρέπει τη σύνδεση με άλλα συστήματα εισαγωγών και εξαγωγών στην Επιτροπή και στα κράτη μέλη.</w:t>
      </w:r>
    </w:p>
    <w:p>
      <w:pPr>
        <w:pStyle w:val="MainText"/>
        <w:spacing w:before="120" w:after="0"/>
        <w:rPr>
          <w:lang w:val="el" w:eastAsia="el"/>
        </w:rPr>
      </w:pPr>
      <w:r>
        <w:rPr>
          <w:b/>
          <w:bCs/>
          <w:lang w:val="el" w:eastAsia="el"/>
        </w:rPr>
        <w:t>4.</w:t>
      </w:r>
      <w:r>
        <w:rPr>
          <w:lang w:val="el" w:eastAsia="el"/>
        </w:rPr>
        <w:t xml:space="preserve"> Μέχρι τις 15 Φεβρουαρίου 2011, η Επιτροπή, σε σύμπραξη με τα κράτη μέλη στο πλαίσιο της ομάδας τελωνειακής πολιτικής, αξιολογεί τις κοινές λειτουργικές προδιαγραφές όσον αφορά:</w:t>
      </w:r>
    </w:p>
    <w:p>
      <w:pPr>
        <w:pStyle w:val="StructureList1"/>
        <w:spacing w:before="120" w:after="0"/>
        <w:rPr>
          <w:lang w:val="el" w:eastAsia="el"/>
        </w:rPr>
      </w:pPr>
      <w:r>
        <w:rPr>
          <w:lang w:val="el" w:eastAsia="el"/>
        </w:rPr>
        <w:t>α)</w:t>
      </w:r>
      <w:r>
        <w:rPr>
          <w:lang w:val="en" w:eastAsia="en"/>
        </w:rPr>
        <w:tab/>
      </w:r>
      <w:r>
        <w:rPr>
          <w:lang w:val="el" w:eastAsia="el"/>
        </w:rPr>
        <w:t>ένα πλαίσιο για τα ενιαία σημεία πρόσβασης, το οποίο επιτρέπει στους οικονομικούς φορείς να χρησιμοποιούν μία ενιαία διεπαφή για την υποβολή ηλεκτρονικών διασαφήσεων, ακόμη και όταν η τελωνειακή διαδικασία διεξάγεται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ηλεκτρονικές διεπαφές για τους οικονομικούς φορείς, οι οποίες τους επιτρέπουν να διεκπεραιώνουν όλες τις τελωνειακές συναλλαγές, ακόμη και όταν πρόκειται για πλείονα κράτη μέλη, με τις τελωνειακές αρχές του κράτους μέλους εγκατάστασής τους, και γ) υπηρεσίες ενιαίας ηλεκτρονικής θυρίδας, οι οποίες εξασφαλίζουν την απρόσκοπτη ροή δεδομένων μεταξύ των οικονομικών φορέων και των τελωνειακών αρχών, μεταξύ των τελωνειακών αρχών και της Επιτροπής, καθώς και μεταξύ των τελωνειακών αρχών και άλλων διοικήσεων ή οργανισμών, και οι οποίες επιτρέπουν στους οικονομικούς φορείς να υποβάλλουν στα τελωνεία όλες τις πληροφορίες που απαιτούνται για τον εκτελωνισμό κατά την εισαγωγή και εξαγωγή, ακόμη και όταν οι πληροφορίες αυτές απαιτούνται από μη τελωνειακές νομοθετικές ρυθμίσεις.</w:t>
      </w:r>
    </w:p>
    <w:p>
      <w:pPr>
        <w:pStyle w:val="MainText"/>
        <w:spacing w:before="120" w:after="0"/>
        <w:rPr>
          <w:lang w:val="el" w:eastAsia="el"/>
        </w:rPr>
      </w:pPr>
      <w:r>
        <w:rPr>
          <w:b/>
          <w:bCs/>
          <w:lang w:val="el" w:eastAsia="el"/>
        </w:rPr>
        <w:t>5.</w:t>
      </w:r>
      <w:r>
        <w:rPr>
          <w:lang w:val="el" w:eastAsia="el"/>
        </w:rPr>
        <w:t xml:space="preserve"> Εντός τριών ετών από τη θετική αξιολόγηση των κοινών λειτουργικών προδιαγραφών κατά την παράγραφο 4 στοιχεία α) και β), τα κράτη μέλη, σε συνεργασία με την Επιτροπή, επιδιώκουν να δημιουργήσουν και να θέσουν σε λειτουργία το πλαίσιο για τα ενιαία σημεία πρόσβασης και τις ηλεκτρονικές διεπαφές.</w:t>
      </w:r>
    </w:p>
    <w:p>
      <w:pPr>
        <w:pStyle w:val="MainText"/>
        <w:spacing w:before="120" w:after="0"/>
        <w:rPr>
          <w:lang w:val="el" w:eastAsia="el"/>
        </w:rPr>
      </w:pPr>
      <w:r>
        <w:rPr>
          <w:b/>
          <w:bCs/>
          <w:lang w:val="el" w:eastAsia="el"/>
        </w:rPr>
        <w:t>6.</w:t>
      </w:r>
      <w:r>
        <w:rPr>
          <w:lang w:val="el" w:eastAsia="el"/>
        </w:rPr>
        <w:t xml:space="preserve"> Τα κράτη μέλη και η Επιτροπή επιδιώκουν να δημιουργήσουν και να θέσουν σε λειτουργία το πλαίσιο για τις υπηρεσίες ενιαίας ηλεκτρονικής θυρίδας. Η αξιολόγηση της επιτευχθείσας προόδου στον τομέα αυτό περιλαμβάνεται στις εκθέσεις που αναφέρονται στο άρθρο 12.</w:t>
      </w:r>
    </w:p>
    <w:p>
      <w:pPr>
        <w:pStyle w:val="MainText"/>
        <w:spacing w:before="120" w:after="0"/>
        <w:rPr>
          <w:lang w:val="el" w:eastAsia="el"/>
        </w:rPr>
      </w:pPr>
      <w:r>
        <w:rPr>
          <w:b/>
          <w:bCs/>
          <w:lang w:val="el" w:eastAsia="el"/>
        </w:rPr>
        <w:t>7.</w:t>
      </w:r>
      <w:r>
        <w:rPr>
          <w:lang w:val="el" w:eastAsia="el"/>
        </w:rPr>
        <w:t xml:space="preserve"> Η Κοινότητα και τα κράτη μέλη μεριμνούν για την κατάλληλη συντήρηση και τις απαραίτητες βελτιώσεις των συστημάτων και των υπηρεσιών που προβλέπονται στο παρόν άρθρο.</w:t>
      </w:r>
    </w:p>
    <w:p>
      <w:pPr>
        <w:pStyle w:val="Heading6"/>
        <w:spacing w:before="240" w:after="240"/>
        <w:rPr>
          <w:lang w:val="el" w:eastAsia="el"/>
        </w:rPr>
      </w:pPr>
      <w:r>
        <w:rPr>
          <w:i/>
          <w:iCs/>
          <w:lang w:val="el" w:eastAsia="el"/>
        </w:rPr>
        <w:t>Άρθρο 5</w:t>
      </w:r>
    </w:p>
    <w:p>
      <w:pPr>
        <w:pStyle w:val="Heading6"/>
        <w:spacing w:before="240" w:after="240"/>
        <w:rPr>
          <w:lang w:val="el" w:eastAsia="el"/>
        </w:rPr>
      </w:pPr>
      <w:r>
        <w:rPr>
          <w:b/>
          <w:bCs/>
          <w:lang w:val="el" w:eastAsia="el"/>
        </w:rPr>
        <w:t>Στοιχεία και ευθύνη</w:t>
      </w:r>
    </w:p>
    <w:p>
      <w:pPr>
        <w:pStyle w:val="MainText"/>
        <w:spacing w:before="120" w:after="0"/>
        <w:rPr>
          <w:lang w:val="el" w:eastAsia="el"/>
        </w:rPr>
      </w:pPr>
      <w:r>
        <w:rPr>
          <w:b/>
          <w:bCs/>
          <w:lang w:val="el" w:eastAsia="el"/>
        </w:rPr>
        <w:t>1.</w:t>
      </w:r>
      <w:r>
        <w:rPr>
          <w:lang w:val="el" w:eastAsia="el"/>
        </w:rPr>
        <w:t xml:space="preserve"> Τα ηλεκτρονικά τελωνειακά συστήματα αποτελούνται από κοινοτικά στοιχεία και εθνικά στοιχεία.</w:t>
      </w:r>
    </w:p>
    <w:p>
      <w:pPr>
        <w:pStyle w:val="MainText"/>
        <w:spacing w:before="120" w:after="0"/>
        <w:rPr>
          <w:lang w:val="el" w:eastAsia="el"/>
        </w:rPr>
      </w:pPr>
      <w:r>
        <w:rPr>
          <w:b/>
          <w:bCs/>
          <w:lang w:val="el" w:eastAsia="el"/>
        </w:rPr>
        <w:t>2.</w:t>
      </w:r>
      <w:r>
        <w:rPr>
          <w:lang w:val="el" w:eastAsia="el"/>
        </w:rPr>
        <w:t xml:space="preserve"> Τα κοινοτικά στοιχεία των ηλεκτρονικών τελωνειακών συστημάτων περιλαμβάνουν ειδικότερα τα εξής:</w:t>
      </w:r>
    </w:p>
    <w:p>
      <w:pPr>
        <w:pStyle w:val="StructureList1"/>
        <w:spacing w:before="120" w:after="0"/>
        <w:rPr>
          <w:lang w:val="el" w:eastAsia="el"/>
        </w:rPr>
      </w:pPr>
      <w:r>
        <w:rPr>
          <w:lang w:val="el" w:eastAsia="el"/>
        </w:rPr>
        <w:t>α)</w:t>
      </w:r>
      <w:r>
        <w:rPr>
          <w:lang w:val="en" w:eastAsia="en"/>
        </w:rPr>
        <w:tab/>
      </w:r>
      <w:r>
        <w:rPr>
          <w:lang w:val="el" w:eastAsia="el"/>
        </w:rPr>
        <w:t>τις εθνικές λειτουργικές και τεχνικές προδιαγραφές του συστή- ματος·</w:t>
      </w:r>
    </w:p>
    <w:p>
      <w:pPr>
        <w:pStyle w:val="StructureList1"/>
        <w:spacing w:before="120" w:after="0"/>
        <w:rPr>
          <w:lang w:val="el" w:eastAsia="el"/>
        </w:rPr>
      </w:pPr>
      <w:r>
        <w:rPr>
          <w:lang w:val="el" w:eastAsia="el"/>
        </w:rPr>
        <w:t>β)</w:t>
      </w:r>
      <w:r>
        <w:rPr>
          <w:lang w:val="en" w:eastAsia="en"/>
        </w:rPr>
        <w:tab/>
      </w:r>
      <w:r>
        <w:rPr>
          <w:lang w:val="el" w:eastAsia="el"/>
        </w:rPr>
        <w:t>τα εθνικά συστήματα, συμπεριλαμβανομένων των βάσεων δεδο- μένων·</w:t>
      </w:r>
    </w:p>
    <w:p>
      <w:pPr>
        <w:pStyle w:val="StructureList1"/>
        <w:spacing w:before="120" w:after="0"/>
        <w:rPr>
          <w:lang w:val="el" w:eastAsia="el"/>
        </w:rPr>
      </w:pPr>
      <w:r>
        <w:rPr>
          <w:lang w:val="el" w:eastAsia="el"/>
        </w:rPr>
        <w:t>γ)</w:t>
      </w:r>
      <w:r>
        <w:rPr>
          <w:lang w:val="en" w:eastAsia="en"/>
        </w:rPr>
        <w:tab/>
      </w:r>
      <w:r>
        <w:rPr>
          <w:lang w:val="el" w:eastAsia="el"/>
        </w:rPr>
        <w:t>τις συνδέσεις δικτύου μεταξύ τελωνειακών αρχών και οικονομικών φορέων, καθώς και μεταξύ τελωνειακών αρχών και άλλων διοικήσεων ή οργανισμών, στα πλαίσια του ιδίου κράτους μέλους·</w:t>
      </w:r>
    </w:p>
    <w:p>
      <w:pPr>
        <w:pStyle w:val="StructureList1"/>
        <w:spacing w:before="120" w:after="0"/>
        <w:rPr>
          <w:lang w:val="el" w:eastAsia="el"/>
        </w:rPr>
      </w:pPr>
      <w:r>
        <w:rPr>
          <w:lang w:val="el" w:eastAsia="el"/>
        </w:rPr>
        <w:t>δ)</w:t>
      </w:r>
      <w:r>
        <w:rPr>
          <w:lang w:val="en" w:eastAsia="en"/>
        </w:rPr>
        <w:tab/>
      </w:r>
      <w:r>
        <w:rPr>
          <w:lang w:val="el" w:eastAsia="el"/>
        </w:rPr>
        <w:t>κάθε λογισμικό ή εξοπλισμό που ένα κράτος μέλος κρίνει απαραίτητο για να διασφαλίζει την πλήρη αξιοποίηση του συστήματος.</w:t>
      </w:r>
    </w:p>
    <w:p>
      <w:pPr>
        <w:pStyle w:val="Heading6"/>
        <w:spacing w:before="240" w:after="240"/>
        <w:rPr>
          <w:lang w:val="el" w:eastAsia="el"/>
        </w:rPr>
      </w:pPr>
      <w:r>
        <w:rPr>
          <w:i/>
          <w:iCs/>
          <w:lang w:val="el" w:eastAsia="el"/>
        </w:rPr>
        <w:t>Άρθρο 6</w:t>
      </w:r>
    </w:p>
    <w:p>
      <w:pPr>
        <w:pStyle w:val="Heading6"/>
        <w:spacing w:before="240" w:after="240"/>
        <w:rPr>
          <w:lang w:val="el" w:eastAsia="el"/>
        </w:rPr>
      </w:pPr>
      <w:r>
        <w:rPr>
          <w:b/>
          <w:bCs/>
          <w:lang w:val="el" w:eastAsia="el"/>
        </w:rPr>
        <w:t>Καθήκοντα της Επιτροπής</w:t>
      </w:r>
    </w:p>
    <w:p>
      <w:pPr>
        <w:spacing w:before="240" w:after="240"/>
        <w:rPr>
          <w:lang w:val="el" w:eastAsia="el"/>
        </w:rPr>
      </w:pPr>
      <w:r>
        <w:rPr>
          <w:lang w:val="el" w:eastAsia="el"/>
        </w:rPr>
        <w:t>Η Επιτροπή μεριμνά ιδίως για τα εξής:</w:t>
      </w:r>
    </w:p>
    <w:p>
      <w:pPr>
        <w:pStyle w:val="StructureList1"/>
        <w:spacing w:before="120" w:after="0"/>
        <w:rPr>
          <w:lang w:val="el" w:eastAsia="el"/>
        </w:rPr>
      </w:pPr>
      <w:r>
        <w:rPr>
          <w:lang w:val="el" w:eastAsia="el"/>
        </w:rPr>
        <w:t>α)</w:t>
      </w:r>
      <w:r>
        <w:rPr>
          <w:lang w:val="en" w:eastAsia="en"/>
        </w:rPr>
        <w:tab/>
      </w:r>
      <w:r>
        <w:rPr>
          <w:lang w:val="el" w:eastAsia="el"/>
        </w:rPr>
        <w:t>το συντονισμό της δημιουργίας, των δοκιμών συμμόρφωσης, της ανάπτυξης, της λειτουργίας και της στήριξης των κοινοτικών στοιχείων των ηλεκτρονικών τελωνειακών συστημάτων·</w:t>
      </w:r>
    </w:p>
    <w:p>
      <w:pPr>
        <w:pStyle w:val="StructureList1"/>
        <w:spacing w:before="120" w:after="0"/>
        <w:rPr>
          <w:lang w:val="el" w:eastAsia="el"/>
        </w:rPr>
      </w:pPr>
      <w:r>
        <w:rPr>
          <w:lang w:val="el" w:eastAsia="el"/>
        </w:rPr>
        <w:t>β)</w:t>
      </w:r>
      <w:r>
        <w:rPr>
          <w:lang w:val="en" w:eastAsia="en"/>
        </w:rPr>
        <w:tab/>
      </w:r>
      <w:r>
        <w:rPr>
          <w:lang w:val="el" w:eastAsia="el"/>
        </w:rPr>
        <w:t>το συντονισμό, σε κοινοτικό επίπεδο, των συστημάτων και υπηρεσιών που προβλέπει η παρούσα απόφαση με άλλα έργα παροχής ηλεκτρονικών διοικητικών υπηρεσιών·</w:t>
      </w:r>
    </w:p>
    <w:p>
      <w:pPr>
        <w:pStyle w:val="StructureList1"/>
        <w:spacing w:before="120" w:after="0"/>
        <w:rPr>
          <w:lang w:val="el" w:eastAsia="el"/>
        </w:rPr>
      </w:pPr>
      <w:r>
        <w:rPr>
          <w:lang w:val="el" w:eastAsia="el"/>
        </w:rPr>
        <w:t>γ)</w:t>
      </w:r>
      <w:r>
        <w:rPr>
          <w:lang w:val="en" w:eastAsia="en"/>
        </w:rPr>
        <w:tab/>
      </w:r>
      <w:r>
        <w:rPr>
          <w:lang w:val="el" w:eastAsia="el"/>
        </w:rPr>
        <w:t>την εκτέλεση των καθηκόντων που της ανατίθενται δυνάμει του πολυετούς στρατηγικού σχεδίου που προβλέπεται στο άρθρο 8 παράγραφος 2·</w:t>
      </w:r>
    </w:p>
    <w:p>
      <w:pPr>
        <w:pStyle w:val="StructureList1"/>
        <w:spacing w:before="120" w:after="0"/>
        <w:rPr>
          <w:lang w:val="el" w:eastAsia="el"/>
        </w:rPr>
      </w:pPr>
      <w:r>
        <w:rPr>
          <w:lang w:val="el" w:eastAsia="el"/>
        </w:rPr>
        <w:t>α)</w:t>
      </w:r>
      <w:r>
        <w:rPr>
          <w:lang w:val="en" w:eastAsia="en"/>
        </w:rPr>
        <w:tab/>
      </w:r>
      <w:r>
        <w:rPr>
          <w:lang w:val="el" w:eastAsia="el"/>
        </w:rPr>
        <w:t>τις σχετικές μελέτες σκοπιμότητας και τις κοινές λειτουργικές και τεχνικές προδιαγραφές του συστήματος·</w:t>
      </w:r>
    </w:p>
    <w:p>
      <w:pPr>
        <w:pStyle w:val="StructureList1"/>
        <w:spacing w:before="120" w:after="0"/>
        <w:rPr>
          <w:lang w:val="el" w:eastAsia="el"/>
        </w:rPr>
      </w:pPr>
      <w:r>
        <w:rPr>
          <w:lang w:val="el" w:eastAsia="el"/>
        </w:rPr>
        <w:t>β)</w:t>
      </w:r>
      <w:r>
        <w:rPr>
          <w:lang w:val="en" w:eastAsia="en"/>
        </w:rPr>
        <w:tab/>
      </w:r>
      <w:r>
        <w:rPr>
          <w:lang w:val="el" w:eastAsia="el"/>
        </w:rPr>
        <w:t>τα κοινά προϊόντα και υπηρεσίες, συμπεριλαμβανομένων των κοινών συστημάτων αναφοράς που απαιτούνται για τις τελωνεια- κές και σχετικές με τα τελωνεία πληροφορίες·</w:t>
      </w:r>
    </w:p>
    <w:p>
      <w:pPr>
        <w:pStyle w:val="StructureList1"/>
        <w:spacing w:before="120" w:after="0"/>
        <w:rPr>
          <w:lang w:val="el" w:eastAsia="el"/>
        </w:rPr>
      </w:pPr>
      <w:r>
        <w:rPr>
          <w:lang w:val="el" w:eastAsia="el"/>
        </w:rPr>
        <w:t>γ)</w:t>
      </w:r>
      <w:r>
        <w:rPr>
          <w:lang w:val="en" w:eastAsia="en"/>
        </w:rPr>
        <w:tab/>
      </w:r>
      <w:r>
        <w:rPr>
          <w:lang w:val="el" w:eastAsia="el"/>
        </w:rPr>
        <w:t>τις υπηρεσίες του κοινού δικτύου επικοινωνιών και κοινής διε- παφής συστημάτων (CCN/CSI) των κρατών μελών·</w:t>
      </w:r>
    </w:p>
    <w:p>
      <w:pPr>
        <w:pStyle w:val="StructureList1"/>
        <w:spacing w:before="120" w:after="0"/>
        <w:rPr>
          <w:lang w:val="el" w:eastAsia="el"/>
        </w:rPr>
      </w:pPr>
      <w:r>
        <w:rPr>
          <w:lang w:val="el" w:eastAsia="el"/>
        </w:rPr>
        <w:t>δ)</w:t>
      </w:r>
      <w:r>
        <w:rPr>
          <w:lang w:val="en" w:eastAsia="en"/>
        </w:rPr>
        <w:tab/>
      </w:r>
      <w:r>
        <w:rPr>
          <w:lang w:val="el" w:eastAsia="el"/>
        </w:rPr>
        <w:t>τις συντονιστικές δραστηριότητες που αναπτύσσουν τα κράτη μέλη και η Επιτροπή κατά την υλοποίηση και λειτουργία ηλεκτρονικών τελωνειακών συστημάτων στα πλαίσια του κοινοτικού κοινού τομέα·</w:t>
      </w:r>
    </w:p>
    <w:p>
      <w:pPr>
        <w:pStyle w:val="StructureList1"/>
        <w:spacing w:before="120" w:after="0"/>
        <w:rPr>
          <w:lang w:val="el" w:eastAsia="el"/>
        </w:rPr>
      </w:pPr>
      <w:r>
        <w:rPr>
          <w:lang w:val="el" w:eastAsia="el"/>
        </w:rPr>
        <w:t>ε)</w:t>
      </w:r>
      <w:r>
        <w:rPr>
          <w:lang w:val="en" w:eastAsia="en"/>
        </w:rPr>
        <w:tab/>
      </w:r>
      <w:r>
        <w:rPr>
          <w:lang w:val="el" w:eastAsia="el"/>
        </w:rPr>
        <w:t>τις συντονιστικές δραστηριότητες που αναπτύσσει η Επιτροπή κατά την υλοποίηση και λειτουργία ηλεκτρονικών τελωνειακών συστημάτων στα πλαίσια του κοινοτικού εξωτερικού τομέα, εξαι- ρουμένων των υπηρεσιών που προορίζονται για την κάλυψη των εθνικών αναγκών.</w:t>
      </w:r>
    </w:p>
    <w:p>
      <w:pPr>
        <w:pStyle w:val="MainText"/>
        <w:spacing w:before="120" w:after="0"/>
        <w:rPr>
          <w:lang w:val="el" w:eastAsia="el"/>
        </w:rPr>
      </w:pPr>
      <w:r>
        <w:rPr>
          <w:b/>
          <w:bCs/>
          <w:lang w:val="el" w:eastAsia="el"/>
        </w:rPr>
        <w:t>3.</w:t>
      </w:r>
      <w:r>
        <w:rPr>
          <w:lang w:val="el" w:eastAsia="el"/>
        </w:rPr>
        <w:t xml:space="preserve"> Τα εθνικά στοιχεία των ηλεκτρονικών τελωνειακών συστημάτων περιλαμβάνουν ιδίως τα εξής:</w:t>
      </w:r>
    </w:p>
    <w:p>
      <w:pPr>
        <w:pStyle w:val="StructureList1"/>
        <w:spacing w:before="120" w:after="0"/>
        <w:rPr>
          <w:lang w:val="el" w:eastAsia="el"/>
        </w:rPr>
      </w:pPr>
      <w:r>
        <w:rPr>
          <w:lang w:val="el" w:eastAsia="el"/>
        </w:rPr>
        <w:t>δ)</w:t>
      </w:r>
      <w:r>
        <w:rPr>
          <w:lang w:val="en" w:eastAsia="en"/>
        </w:rPr>
        <w:tab/>
      </w:r>
      <w:r>
        <w:rPr>
          <w:lang w:val="el" w:eastAsia="el"/>
        </w:rPr>
        <w:t>το συντονισμό της ανάπτυξης των κοινοτικών και εθνικών στοιχείων με σκοπό τη συγχρονισμένη εφαρμογή των έργων·</w:t>
      </w:r>
    </w:p>
    <w:p>
      <w:pPr>
        <w:pStyle w:val="StructureList1"/>
        <w:spacing w:before="120" w:after="0"/>
        <w:rPr>
          <w:lang w:val="el" w:eastAsia="el"/>
        </w:rPr>
      </w:pPr>
      <w:r>
        <w:rPr>
          <w:lang w:val="el" w:eastAsia="el"/>
        </w:rPr>
        <w:t>ε)</w:t>
      </w:r>
      <w:r>
        <w:rPr>
          <w:lang w:val="en" w:eastAsia="en"/>
        </w:rPr>
        <w:tab/>
      </w:r>
      <w:r>
        <w:rPr>
          <w:lang w:val="el" w:eastAsia="el"/>
        </w:rPr>
        <w:t>το συντονισμό, σε κοινοτικό επίπεδο, των ηλεκτρονικών τελωνειακών υπηρεσιών και των υπηρεσιών ενιαίας ηλεκτρονικής θυρίδας με σκοπό την προώθηση και την υλοποίηση σε εθνικό επίπεδο·</w:t>
      </w:r>
    </w:p>
    <w:p>
      <w:pPr>
        <w:pStyle w:val="StructureList1"/>
        <w:spacing w:before="120" w:after="0"/>
        <w:rPr>
          <w:lang w:val="el" w:eastAsia="el"/>
        </w:rPr>
      </w:pPr>
      <w:r>
        <w:rPr>
          <w:lang w:val="el" w:eastAsia="el"/>
        </w:rPr>
        <w:t>στ)</w:t>
      </w:r>
      <w:r>
        <w:rPr>
          <w:lang w:val="en" w:eastAsia="en"/>
        </w:rPr>
        <w:tab/>
      </w:r>
      <w:r>
        <w:rPr>
          <w:lang w:val="el" w:eastAsia="el"/>
        </w:rPr>
        <w:t>το συντονισμό των αναγκών κατάρτισης.</w:t>
      </w:r>
    </w:p>
    <w:p>
      <w:pPr>
        <w:pStyle w:val="Heading6"/>
        <w:spacing w:before="240" w:after="240"/>
        <w:rPr>
          <w:lang w:val="el" w:eastAsia="el"/>
        </w:rPr>
      </w:pPr>
      <w:r>
        <w:rPr>
          <w:i/>
          <w:iCs/>
          <w:lang w:val="el" w:eastAsia="el"/>
        </w:rPr>
        <w:t>Άρθρο 7</w:t>
      </w:r>
    </w:p>
    <w:p>
      <w:pPr>
        <w:pStyle w:val="Heading6"/>
        <w:spacing w:before="240" w:after="240"/>
        <w:rPr>
          <w:lang w:val="el" w:eastAsia="el"/>
        </w:rPr>
      </w:pPr>
      <w:r>
        <w:rPr>
          <w:b/>
          <w:bCs/>
          <w:lang w:val="el" w:eastAsia="el"/>
        </w:rPr>
        <w:t>Καθήκοντα των κρατών μελών</w:t>
      </w:r>
    </w:p>
    <w:p>
      <w:pPr>
        <w:pStyle w:val="MainText"/>
        <w:spacing w:before="120" w:after="0"/>
        <w:rPr>
          <w:lang w:val="el" w:eastAsia="el"/>
        </w:rPr>
      </w:pPr>
      <w:r>
        <w:rPr>
          <w:b/>
          <w:bCs/>
          <w:lang w:val="el" w:eastAsia="el"/>
        </w:rPr>
        <w:t>1.</w:t>
      </w:r>
      <w:r>
        <w:rPr>
          <w:lang w:val="el" w:eastAsia="el"/>
        </w:rPr>
        <w:t xml:space="preserve"> Τα κράτη μέλη μεριμνούν ιδίως για τα εξής:</w:t>
      </w:r>
    </w:p>
    <w:p>
      <w:pPr>
        <w:pStyle w:val="StructureList1"/>
        <w:spacing w:before="120" w:after="0"/>
        <w:rPr>
          <w:lang w:val="el" w:eastAsia="el"/>
        </w:rPr>
      </w:pPr>
      <w:r>
        <w:rPr>
          <w:lang w:val="el" w:eastAsia="el"/>
        </w:rPr>
        <w:t>α)</w:t>
      </w:r>
      <w:r>
        <w:rPr>
          <w:lang w:val="en" w:eastAsia="en"/>
        </w:rPr>
        <w:tab/>
      </w:r>
      <w:r>
        <w:rPr>
          <w:lang w:val="el" w:eastAsia="el"/>
        </w:rPr>
        <w:t>το συντονισμό της δημιουργίας, των δοκιμών συμμόρφωσης, της ανάπτυξης, της λειτουργίας και της στήριξης των εθνικών στοιχείων των ηλεκτρονικών τελωνειακών συστημάτων·</w:t>
      </w:r>
    </w:p>
    <w:p>
      <w:pPr>
        <w:pStyle w:val="StructureList1"/>
        <w:spacing w:before="120" w:after="0"/>
        <w:rPr>
          <w:lang w:val="el" w:eastAsia="el"/>
        </w:rPr>
      </w:pPr>
      <w:r>
        <w:rPr>
          <w:lang w:val="el" w:eastAsia="el"/>
        </w:rPr>
        <w:t>β)</w:t>
      </w:r>
      <w:r>
        <w:rPr>
          <w:lang w:val="en" w:eastAsia="en"/>
        </w:rPr>
        <w:tab/>
      </w:r>
      <w:r>
        <w:rPr>
          <w:lang w:val="el" w:eastAsia="el"/>
        </w:rPr>
        <w:t>το συντονισμό, στο εθνικό επίπεδο, των συστημάτων και υπηρεσιών που προβλέπει η παρούσα απόφαση με άλλα συναφή έργα παροχής ηλεκτρονικών διοικητικών υπηρεσιών·</w:t>
      </w:r>
    </w:p>
    <w:p>
      <w:pPr>
        <w:pStyle w:val="StructureList1"/>
        <w:spacing w:before="120" w:after="0"/>
        <w:rPr>
          <w:lang w:val="el" w:eastAsia="el"/>
        </w:rPr>
      </w:pPr>
      <w:r>
        <w:rPr>
          <w:lang w:val="el" w:eastAsia="el"/>
        </w:rPr>
        <w:t>γ)</w:t>
      </w:r>
      <w:r>
        <w:rPr>
          <w:lang w:val="en" w:eastAsia="en"/>
        </w:rPr>
        <w:tab/>
      </w:r>
      <w:r>
        <w:rPr>
          <w:lang w:val="el" w:eastAsia="el"/>
        </w:rPr>
        <w:t>την εκτέλεση των καθηκόντων που τους ανατίθενται, δυνάμει του πολυετούς στρατηγικού σχεδίου που προβλέπεται στο άρθρο 8 παράγραφος 2·</w:t>
      </w:r>
    </w:p>
    <w:p>
      <w:pPr>
        <w:pStyle w:val="StructureList1"/>
        <w:spacing w:before="120" w:after="0"/>
        <w:rPr>
          <w:lang w:val="el" w:eastAsia="el"/>
        </w:rPr>
      </w:pPr>
      <w:r>
        <w:rPr>
          <w:lang w:val="el" w:eastAsia="el"/>
        </w:rPr>
        <w:t>δ)</w:t>
      </w:r>
      <w:r>
        <w:rPr>
          <w:lang w:val="en" w:eastAsia="en"/>
        </w:rPr>
        <w:tab/>
      </w:r>
      <w:r>
        <w:rPr>
          <w:lang w:val="el" w:eastAsia="el"/>
        </w:rPr>
        <w:t>την τακτική διαβίβαση στην Επιτροπή πληροφοριών σχετικών με τα μέτρα που λαμβάνουν προκειμένου οι αρχές ή οικονομικοί φορείς τους να είναι σε θέση να χρησιμοποιούν πλήρως τα ηλεκτρονικά τελωνειακά συστήματα·</w:t>
      </w:r>
    </w:p>
    <w:p>
      <w:pPr>
        <w:pStyle w:val="StructureList1"/>
        <w:spacing w:before="120" w:after="0"/>
        <w:rPr>
          <w:lang w:val="el" w:eastAsia="el"/>
        </w:rPr>
      </w:pPr>
      <w:r>
        <w:rPr>
          <w:lang w:val="el" w:eastAsia="el"/>
        </w:rPr>
        <w:t>ε)</w:t>
      </w:r>
      <w:r>
        <w:rPr>
          <w:lang w:val="en" w:eastAsia="en"/>
        </w:rPr>
        <w:tab/>
      </w:r>
      <w:r>
        <w:rPr>
          <w:lang w:val="el" w:eastAsia="el"/>
        </w:rPr>
        <w:t>την προώθηση και την εφαρμογή, στο εθνικό επίπεδο, των ηλεκτρονικών τελωνειακών υπηρεσιών και των υπηρεσιών ενιαίας ηλεκτρονικής θυρίδας·</w:t>
      </w:r>
    </w:p>
    <w:p>
      <w:pPr>
        <w:pStyle w:val="StructureList1"/>
        <w:spacing w:before="120" w:after="0"/>
        <w:rPr>
          <w:lang w:val="el" w:eastAsia="el"/>
        </w:rPr>
      </w:pPr>
      <w:r>
        <w:rPr>
          <w:lang w:val="el" w:eastAsia="el"/>
        </w:rPr>
        <w:t>στ)</w:t>
      </w:r>
      <w:r>
        <w:rPr>
          <w:lang w:val="en" w:eastAsia="en"/>
        </w:rPr>
        <w:tab/>
      </w:r>
      <w:r>
        <w:rPr>
          <w:lang w:val="el" w:eastAsia="el"/>
        </w:rPr>
        <w:t>την απαιτούμενη κατάρτιση των τελωνειακών και άλλων αρμοδίων υπαλλήλων.</w:t>
      </w:r>
    </w:p>
    <w:p>
      <w:pPr>
        <w:pStyle w:val="MainText"/>
        <w:spacing w:before="120" w:after="0"/>
        <w:rPr>
          <w:lang w:val="el" w:eastAsia="el"/>
        </w:rPr>
      </w:pPr>
      <w:r>
        <w:rPr>
          <w:b/>
          <w:bCs/>
          <w:lang w:val="el" w:eastAsia="el"/>
        </w:rPr>
        <w:t>2.</w:t>
      </w:r>
      <w:r>
        <w:rPr>
          <w:lang w:val="el" w:eastAsia="el"/>
        </w:rPr>
        <w:t xml:space="preserve"> Τα κράτη μέλη εκτιμούν και κοινοποιούν ετησίως στην Επιτροπή τους ανθρώπινους, δημοσιονομικούς και τεχνικούς πόρους που απαιτούνται για την τήρηση του άρθρου 4 και του πολυετούς στρατηγικού σχεδίου που προβλέπεται στο άρθρο 8 παράγραφος 2.</w:t>
      </w:r>
    </w:p>
    <w:p>
      <w:pPr>
        <w:pStyle w:val="MainText"/>
        <w:spacing w:before="120" w:after="0"/>
        <w:rPr>
          <w:lang w:val="el" w:eastAsia="el"/>
        </w:rPr>
      </w:pPr>
      <w:r>
        <w:rPr>
          <w:b/>
          <w:bCs/>
          <w:lang w:val="el" w:eastAsia="el"/>
        </w:rPr>
        <w:t>3.</w:t>
      </w:r>
      <w:r>
        <w:rPr>
          <w:lang w:val="el" w:eastAsia="el"/>
        </w:rPr>
        <w:t xml:space="preserve"> Αν μια ενέργεια που προβλέπει ένα κράτος μέλος σε σχέση με τη δημιουργία ή τη λειτουργία των ηλεκτρονικών τελωνειακών συστημάτων ενδέχεται να θίξει τη συνολική διαλειτουργικότητα ή λειτουργία των εν λόγω συστημάτων, το κράτος μέλος ενημερώνει την Επιτροπή προτού προβεί στην ενέργεια αυτή.</w:t>
      </w:r>
    </w:p>
    <w:p>
      <w:pPr>
        <w:pStyle w:val="Heading6"/>
        <w:spacing w:before="240" w:after="240"/>
        <w:rPr>
          <w:lang w:val="el" w:eastAsia="el"/>
        </w:rPr>
      </w:pPr>
      <w:r>
        <w:rPr>
          <w:i/>
          <w:iCs/>
          <w:lang w:val="el" w:eastAsia="el"/>
        </w:rPr>
        <w:t>Άρθρο 8</w:t>
      </w:r>
    </w:p>
    <w:p>
      <w:pPr>
        <w:pStyle w:val="Heading6"/>
        <w:spacing w:before="240" w:after="240"/>
        <w:rPr>
          <w:lang w:val="el" w:eastAsia="el"/>
        </w:rPr>
      </w:pPr>
      <w:r>
        <w:rPr>
          <w:b/>
          <w:bCs/>
          <w:lang w:val="el" w:eastAsia="el"/>
        </w:rPr>
        <w:t>Στρατηγική και συντονισμός</w:t>
      </w:r>
    </w:p>
    <w:p>
      <w:pPr>
        <w:pStyle w:val="MainText"/>
        <w:spacing w:before="120" w:after="0"/>
        <w:rPr>
          <w:lang w:val="el" w:eastAsia="el"/>
        </w:rPr>
      </w:pPr>
      <w:r>
        <w:rPr>
          <w:b/>
          <w:bCs/>
          <w:lang w:val="el" w:eastAsia="el"/>
        </w:rPr>
        <w:t>1.</w:t>
      </w:r>
      <w:r>
        <w:rPr>
          <w:lang w:val="el" w:eastAsia="el"/>
        </w:rPr>
        <w:t xml:space="preserve"> Η Επιτροπή, σε σύμπραξη με τα κράτη μέλη στο πλαίσιο της ομάδας τελωνειακής πολιτικής, μεριμνά για τα εξής:</w:t>
      </w:r>
    </w:p>
    <w:p>
      <w:pPr>
        <w:pStyle w:val="MainText"/>
        <w:spacing w:before="120" w:after="0"/>
        <w:rPr>
          <w:lang w:val="el" w:eastAsia="el"/>
        </w:rPr>
      </w:pPr>
      <w:r>
        <w:rPr>
          <w:b/>
          <w:bCs/>
          <w:lang w:val="el" w:eastAsia="el"/>
        </w:rPr>
        <w:t>2.</w:t>
      </w:r>
      <w:r>
        <w:rPr>
          <w:lang w:val="el" w:eastAsia="el"/>
        </w:rPr>
        <w:t xml:space="preserve"> Η Επιτροπή, σε σύμπραξη με τα κράτη μέλη στο πλαίσιο της ομάδας τελωνειακής πολιτικής, καταρτίζει και αναπροσαρμόζει το πολυετές στρατηγικό σχέδιο που αναθέτει καθήκοντα στην Επιτροπή και τα κράτη μέλη.</w:t>
      </w:r>
    </w:p>
    <w:p>
      <w:pPr>
        <w:pStyle w:val="Heading6"/>
        <w:spacing w:before="240" w:after="240"/>
        <w:rPr>
          <w:lang w:val="el" w:eastAsia="el"/>
        </w:rPr>
      </w:pPr>
      <w:r>
        <w:rPr>
          <w:i/>
          <w:iCs/>
          <w:lang w:val="el" w:eastAsia="el"/>
        </w:rPr>
        <w:t>Άρθρο 9</w:t>
      </w:r>
    </w:p>
    <w:p>
      <w:pPr>
        <w:pStyle w:val="Heading6"/>
        <w:spacing w:before="240" w:after="240"/>
        <w:rPr>
          <w:lang w:val="el" w:eastAsia="el"/>
        </w:rPr>
      </w:pPr>
      <w:r>
        <w:rPr>
          <w:b/>
          <w:bCs/>
          <w:lang w:val="el" w:eastAsia="el"/>
        </w:rPr>
        <w:t>Πόροι</w:t>
      </w:r>
    </w:p>
    <w:p>
      <w:pPr>
        <w:pStyle w:val="MainText"/>
        <w:spacing w:before="120" w:after="0"/>
        <w:rPr>
          <w:lang w:val="el" w:eastAsia="el"/>
        </w:rPr>
      </w:pPr>
      <w:r>
        <w:rPr>
          <w:b/>
          <w:bCs/>
          <w:lang w:val="el" w:eastAsia="el"/>
        </w:rPr>
        <w:t>1.</w:t>
      </w:r>
      <w:r>
        <w:rPr>
          <w:lang w:val="el" w:eastAsia="el"/>
        </w:rPr>
        <w:t xml:space="preserve"> Για την εγκατάσταση, τη λειτουργία και τη βελτίωση των ηλεκτρονικών τελωνειακών συστημάτων σύμφωνα με το άρθρο 4, η Κοινότητα παρέχει τους ανθρώπινους, δημοσιονομικούς και τεχνικούς πόρους που απαιτούνται για τα κοινοτικά στοιχεία.</w:t>
      </w:r>
    </w:p>
    <w:p>
      <w:pPr>
        <w:pStyle w:val="MainText"/>
        <w:spacing w:before="120" w:after="0"/>
        <w:rPr>
          <w:lang w:val="el" w:eastAsia="el"/>
        </w:rPr>
      </w:pPr>
      <w:r>
        <w:rPr>
          <w:b/>
          <w:bCs/>
          <w:lang w:val="el" w:eastAsia="el"/>
        </w:rPr>
        <w:t>2.</w:t>
      </w:r>
      <w:r>
        <w:rPr>
          <w:lang w:val="el" w:eastAsia="el"/>
        </w:rPr>
        <w:t xml:space="preserve"> Για την εγκατάσταση, τη λειτουργία και τη βελτίωση των ηλεκτρονικών τελωνειακών συστημάτων σύμφωνα με το άρθρο 4, τα κράτη μέλη παρέχουν τους ανθρώπινους, δημοσιονομικούς και τεχνικούς πόρους που απαιτούνται για τα εθνικά στοιχεία.</w:t>
      </w:r>
    </w:p>
    <w:p>
      <w:pPr>
        <w:pStyle w:val="Heading6"/>
        <w:spacing w:before="240" w:after="240"/>
        <w:rPr>
          <w:lang w:val="el" w:eastAsia="el"/>
        </w:rPr>
      </w:pPr>
      <w:r>
        <w:rPr>
          <w:i/>
          <w:iCs/>
          <w:lang w:val="el" w:eastAsia="el"/>
        </w:rPr>
        <w:t>Άρθρο 10</w:t>
      </w:r>
    </w:p>
    <w:p>
      <w:pPr>
        <w:pStyle w:val="Heading6"/>
        <w:spacing w:before="240" w:after="240"/>
        <w:rPr>
          <w:lang w:val="el" w:eastAsia="el"/>
        </w:rPr>
      </w:pPr>
      <w:r>
        <w:rPr>
          <w:b/>
          <w:bCs/>
          <w:lang w:val="el" w:eastAsia="el"/>
        </w:rPr>
        <w:t>Δημοσιονομικές διατάξεις</w:t>
      </w:r>
    </w:p>
    <w:p>
      <w:pPr>
        <w:pStyle w:val="MainText"/>
        <w:spacing w:before="120" w:after="0"/>
        <w:rPr>
          <w:lang w:val="el" w:eastAsia="el"/>
        </w:rPr>
      </w:pPr>
      <w:r>
        <w:rPr>
          <w:b/>
          <w:bCs/>
          <w:lang w:val="el" w:eastAsia="el"/>
        </w:rPr>
        <w:t>1.</w:t>
      </w:r>
      <w:r>
        <w:rPr>
          <w:lang w:val="el" w:eastAsia="el"/>
        </w:rPr>
        <w:t xml:space="preserve"> Με την επιφύλαξη των δαπανών που αναλαμβάνουν τρίτες χώρες ή διεθνείς οργανισμοί στο πλαίσιο του άρθρου 2 παράγραφος 3, το κόστος εφαρμογής της παρούσας απόφασης βαρύνει την Κοινότητα και τα κράτη μέλη σύμφωνα με τις παραγράφους 2 και 3 του παρόντος άρθρου.</w:t>
      </w:r>
    </w:p>
    <w:p>
      <w:pPr>
        <w:pStyle w:val="MainText"/>
        <w:spacing w:before="120" w:after="0"/>
        <w:rPr>
          <w:lang w:val="el" w:eastAsia="el"/>
        </w:rPr>
      </w:pPr>
      <w:r>
        <w:rPr>
          <w:b/>
          <w:bCs/>
          <w:lang w:val="el" w:eastAsia="el"/>
        </w:rPr>
        <w:t>2.</w:t>
      </w:r>
      <w:r>
        <w:rPr>
          <w:lang w:val="el" w:eastAsia="el"/>
        </w:rPr>
        <w:t xml:space="preserve"> Η Κοινότητα αναλαμβάνει το κόστος σχεδιασμού, απόκτησης, εγκατάστασης, λειτουργίας και συντήρησης των κοινοτικών στοιχείων που αναφέρονται στο άρθρο 5 παράγραφος 2, σύμφωνα με το πρόγραμμα Τελωνεία 2007, το οποίο έχει θεσπιστεί με την απόφαση αριθ. 253/2003/ΕΚ, καθώς και με κάθε άλλο διάδοχο πρόγραμμα.</w:t>
      </w:r>
    </w:p>
    <w:p>
      <w:pPr>
        <w:pStyle w:val="StructureList1"/>
        <w:spacing w:before="120" w:after="0"/>
        <w:rPr>
          <w:lang w:val="el" w:eastAsia="el"/>
        </w:rPr>
      </w:pPr>
      <w:r>
        <w:rPr>
          <w:lang w:val="el" w:eastAsia="el"/>
        </w:rPr>
        <w:t>α)</w:t>
      </w:r>
      <w:r>
        <w:rPr>
          <w:lang w:val="en" w:eastAsia="en"/>
        </w:rPr>
        <w:tab/>
      </w:r>
      <w:r>
        <w:rPr>
          <w:lang w:val="el" w:eastAsia="el"/>
        </w:rPr>
        <w:t>τον καθορισμό των στρατηγικών, των απαιτούμενων πόρων και των σταδίων ανάπτυξης·</w:t>
      </w:r>
    </w:p>
    <w:p>
      <w:pPr>
        <w:pStyle w:val="StructureList1"/>
        <w:spacing w:before="120" w:after="0"/>
        <w:rPr>
          <w:lang w:val="el" w:eastAsia="el"/>
        </w:rPr>
      </w:pPr>
      <w:r>
        <w:rPr>
          <w:lang w:val="el" w:eastAsia="el"/>
        </w:rPr>
        <w:t>β)</w:t>
      </w:r>
      <w:r>
        <w:rPr>
          <w:lang w:val="en" w:eastAsia="en"/>
        </w:rPr>
        <w:tab/>
      </w:r>
      <w:r>
        <w:rPr>
          <w:lang w:val="el" w:eastAsia="el"/>
        </w:rPr>
        <w:t>το συντονισμό όλων των δραστηριοτήτων των συναφών με το ηλεκτρονικό τελωνείο ώστε να εξασφαλιστεί η καλύτερη και αποτελεσματικότερη χρησιμοποίηση των πόρων, συμπεριλαμβανομένων των πόρων που χρησιμοποιούνται σε εθνικό και κοινοτικό επίπεδο·</w:t>
      </w:r>
    </w:p>
    <w:p>
      <w:pPr>
        <w:pStyle w:val="StructureList1"/>
        <w:spacing w:before="120" w:after="0"/>
        <w:rPr>
          <w:lang w:val="el" w:eastAsia="el"/>
        </w:rPr>
      </w:pPr>
      <w:r>
        <w:rPr>
          <w:lang w:val="el" w:eastAsia="el"/>
        </w:rPr>
        <w:t>γ)</w:t>
      </w:r>
      <w:r>
        <w:rPr>
          <w:lang w:val="en" w:eastAsia="en"/>
        </w:rPr>
        <w:tab/>
      </w:r>
      <w:r>
        <w:rPr>
          <w:lang w:val="el" w:eastAsia="el"/>
        </w:rPr>
        <w:t>το συντονισμό των νομικών και λειτουργικών πτυχών, των πτυχών της κατάρτισης και ανάπτυξης της τεχνολογίας των πληροφοριών, καθώς και για τη σχετική ενημέρωση των τελωνειακών αρχών και των οικονομικών φορέων·</w:t>
      </w:r>
    </w:p>
    <w:p>
      <w:pPr>
        <w:pStyle w:val="StructureList1"/>
        <w:spacing w:before="120" w:after="0"/>
        <w:rPr>
          <w:lang w:val="el" w:eastAsia="el"/>
        </w:rPr>
      </w:pPr>
      <w:r>
        <w:rPr>
          <w:lang w:val="el" w:eastAsia="el"/>
        </w:rPr>
        <w:t>δ)</w:t>
      </w:r>
      <w:r>
        <w:rPr>
          <w:lang w:val="en" w:eastAsia="en"/>
        </w:rPr>
        <w:tab/>
      </w:r>
      <w:r>
        <w:rPr>
          <w:lang w:val="el" w:eastAsia="el"/>
        </w:rPr>
        <w:t>το συντονισμό των δραστηριοτήτων εφαρμογής όλων των ενδια- φερόμενων φορέων·</w:t>
      </w:r>
    </w:p>
    <w:p>
      <w:pPr>
        <w:pStyle w:val="StructureList1"/>
        <w:spacing w:before="120" w:after="0"/>
        <w:rPr>
          <w:lang w:val="el" w:eastAsia="el"/>
        </w:rPr>
      </w:pPr>
      <w:r>
        <w:rPr>
          <w:lang w:val="el" w:eastAsia="el"/>
        </w:rPr>
        <w:t>ε)</w:t>
      </w:r>
      <w:r>
        <w:rPr>
          <w:lang w:val="en" w:eastAsia="en"/>
        </w:rPr>
        <w:tab/>
      </w:r>
      <w:r>
        <w:rPr>
          <w:lang w:val="el" w:eastAsia="el"/>
        </w:rPr>
        <w:t>την τήρηση, από τα ενδιαφερόμενα μέρη, των προθεσμιών του άρθρου 4.</w:t>
      </w:r>
    </w:p>
    <w:p>
      <w:pPr>
        <w:pStyle w:val="MainText"/>
        <w:spacing w:before="120" w:after="0"/>
        <w:rPr>
          <w:lang w:val="el" w:eastAsia="el"/>
        </w:rPr>
      </w:pPr>
      <w:r>
        <w:rPr>
          <w:b/>
          <w:bCs/>
          <w:lang w:val="el" w:eastAsia="el"/>
        </w:rPr>
        <w:t>3.</w:t>
      </w:r>
      <w:r>
        <w:rPr>
          <w:lang w:val="el" w:eastAsia="el"/>
        </w:rPr>
        <w:t xml:space="preserve"> Τα κράτη μέλη αναλαμβάνουν το κόστος της σύστασης και λειτουργίας των εθνικών στοιχείων που αναφέρονται στο άρθρο 5 παράγραφος 3, συμπεριλαμβανομένων των διεπαφών με άλλες διοικήσεις ή οργανισμούς και τους οικονομικούς φορείς.</w:t>
      </w:r>
    </w:p>
    <w:p>
      <w:pPr>
        <w:pStyle w:val="MainText"/>
        <w:spacing w:before="120" w:after="0"/>
        <w:rPr>
          <w:lang w:val="el" w:eastAsia="el"/>
        </w:rPr>
      </w:pPr>
      <w:r>
        <w:rPr>
          <w:b/>
          <w:bCs/>
          <w:lang w:val="el" w:eastAsia="el"/>
        </w:rPr>
        <w:t>4.</w:t>
      </w:r>
      <w:r>
        <w:rPr>
          <w:lang w:val="el" w:eastAsia="el"/>
        </w:rPr>
        <w:t xml:space="preserve"> Τα κράτη μέλη ενισχύουν τη συνεργασία τους, ώστε να ελαχιστοποιήσουν το κόστος με την ανάπτυξη μοντέλων επιμερισμού των δαπανών και κοινών λύσεων.</w:t>
      </w:r>
    </w:p>
    <w:p>
      <w:pPr>
        <w:pStyle w:val="Heading6"/>
        <w:spacing w:before="240" w:after="240"/>
        <w:rPr>
          <w:lang w:val="el" w:eastAsia="el"/>
        </w:rPr>
      </w:pPr>
      <w:r>
        <w:rPr>
          <w:i/>
          <w:iCs/>
          <w:lang w:val="el" w:eastAsia="el"/>
        </w:rPr>
        <w:t>Άρθρο 11</w:t>
      </w:r>
    </w:p>
    <w:p>
      <w:pPr>
        <w:pStyle w:val="Heading6"/>
        <w:spacing w:before="240" w:after="240"/>
        <w:rPr>
          <w:lang w:val="el" w:eastAsia="el"/>
        </w:rPr>
      </w:pPr>
      <w:r>
        <w:rPr>
          <w:b/>
          <w:bCs/>
          <w:lang w:val="el" w:eastAsia="el"/>
        </w:rPr>
        <w:t>Παρακολούθηση</w:t>
      </w:r>
    </w:p>
    <w:p>
      <w:pPr>
        <w:pStyle w:val="MainText"/>
        <w:spacing w:before="120" w:after="0"/>
        <w:rPr>
          <w:lang w:val="el" w:eastAsia="el"/>
        </w:rPr>
      </w:pPr>
      <w:r>
        <w:rPr>
          <w:b/>
          <w:bCs/>
          <w:lang w:val="el" w:eastAsia="el"/>
        </w:rPr>
        <w:t>1.</w:t>
      </w:r>
      <w:r>
        <w:rPr>
          <w:lang w:val="el" w:eastAsia="el"/>
        </w:rPr>
        <w:t xml:space="preserve"> Η Επιτροπή λαμβάνει όλα τα απαιτούμενα μέτρα για να εξακριβώσει εάν τα μέτρα που χρηματοδοτούνται από τον κοινοτικό προϋπολογισμό εκτελούνται σύμφωνα με την παρούσα απόφαση και εάν τα επιτυγχανόμενα αποτελέσματα είναι σύμφωνα προς τους στόχους του άρθρου 2 παράγραφος 1 πρώτο εδάφιο.</w:t>
      </w:r>
    </w:p>
    <w:p>
      <w:pPr>
        <w:pStyle w:val="MainText"/>
        <w:spacing w:before="120" w:after="0"/>
        <w:rPr>
          <w:lang w:val="el" w:eastAsia="el"/>
        </w:rPr>
      </w:pPr>
      <w:r>
        <w:rPr>
          <w:b/>
          <w:bCs/>
          <w:lang w:val="el" w:eastAsia="el"/>
        </w:rPr>
        <w:t>2.</w:t>
      </w:r>
      <w:r>
        <w:rPr>
          <w:lang w:val="el" w:eastAsia="el"/>
        </w:rPr>
        <w:t xml:space="preserve"> Η Επιτροπή, σε σύμπραξη με τα κράτη μέλη στο πλαίσιο της ομάδας τελωνειακής πολιτικής, παρακολουθεί τακτικά την πρόοδο που σημειώνει κάθε κράτος μέλος και η Επιτροπή, ως προς την τήρηση του άρθρου 4, προκειμένου να εξακριβώσει εάν έχουν επιτευχθεί οι στόχοι που προβλέπονται στο άρθρο 2 παράγραφος 1 πρώτο εδάφιο και πώς μπορεί να βελτιωθεί η αποτελεσματικότητα των δραστηριοτήτων υλοποίησης των ηλεκτρονικών τελωνειακών συστημάτων.</w:t>
      </w:r>
    </w:p>
    <w:p>
      <w:pPr>
        <w:pStyle w:val="Heading6"/>
        <w:spacing w:before="240" w:after="240"/>
        <w:rPr>
          <w:lang w:val="el" w:eastAsia="el"/>
        </w:rPr>
      </w:pPr>
      <w:r>
        <w:rPr>
          <w:i/>
          <w:iCs/>
          <w:lang w:val="el" w:eastAsia="el"/>
        </w:rPr>
        <w:t>Άρθρο 12</w:t>
      </w:r>
    </w:p>
    <w:p>
      <w:pPr>
        <w:pStyle w:val="Heading6"/>
        <w:spacing w:before="240" w:after="240"/>
        <w:rPr>
          <w:lang w:val="el" w:eastAsia="el"/>
        </w:rPr>
      </w:pPr>
      <w:r>
        <w:rPr>
          <w:b/>
          <w:bCs/>
          <w:lang w:val="el" w:eastAsia="el"/>
        </w:rPr>
        <w:t>Εκθέσεις</w:t>
      </w:r>
    </w:p>
    <w:p>
      <w:pPr>
        <w:pStyle w:val="MainText"/>
        <w:spacing w:before="120" w:after="0"/>
        <w:rPr>
          <w:lang w:val="el" w:eastAsia="el"/>
        </w:rPr>
      </w:pPr>
      <w:r>
        <w:rPr>
          <w:b/>
          <w:bCs/>
          <w:lang w:val="el" w:eastAsia="el"/>
        </w:rPr>
        <w:t>1.</w:t>
      </w:r>
      <w:r>
        <w:rPr>
          <w:lang w:val="el" w:eastAsia="el"/>
        </w:rPr>
        <w:t xml:space="preserve"> Τα κράτη μέλη υποβάλλουν τακτικά εκθέσεις στην Επιτροπή σχετικά με την πρόοδο που έχουν σημειώσει ως προς καθένα από τα καθήκοντά τους στο πλαίσιο του πολυετούς στρατηγικού σχεδίου που προβλέπεται στο άρθρο 8 παράγραφος 2. Τα κράτη μέλη γνωστοποιούν στην Επιτροπή την ολοκλήρωση καθενός από τα καθήκοντα αυτά.</w:t>
      </w:r>
    </w:p>
    <w:p>
      <w:pPr>
        <w:pStyle w:val="MainText"/>
        <w:spacing w:before="120" w:after="0"/>
        <w:rPr>
          <w:lang w:val="el" w:eastAsia="el"/>
        </w:rPr>
      </w:pPr>
      <w:r>
        <w:rPr>
          <w:b/>
          <w:bCs/>
          <w:lang w:val="el" w:eastAsia="el"/>
        </w:rPr>
        <w:t>2.</w:t>
      </w:r>
      <w:r>
        <w:rPr>
          <w:lang w:val="el" w:eastAsia="el"/>
        </w:rPr>
        <w:t xml:space="preserve"> Το αργότερο στις 31 Μαρτίου κάθε έτους, τα κράτη μέλη διαβιβάζουν στην Επιτροπή ετήσια έκθεση προόδου των εργασιών, η οποία καλύπτει την περίοδο από την 1η Ιανουαρίου έως τις 31 Δεκεμβρίου του προηγούμενου έτους. Αυτές οι ετήσιες εκθέσεις βασίζονται σε μορφότυπο που καταρτίζει η Επιτροπή σε σύμπραξη με τα κράτη μέλη στο πλαίσιο της ομάδας τελωνειακής πολιτικής.</w:t>
      </w:r>
    </w:p>
    <w:p>
      <w:pPr>
        <w:pStyle w:val="MainText"/>
        <w:spacing w:before="120" w:after="0"/>
        <w:rPr>
          <w:lang w:val="el" w:eastAsia="el"/>
        </w:rPr>
      </w:pPr>
      <w:r>
        <w:rPr>
          <w:b/>
          <w:bCs/>
          <w:lang w:val="el" w:eastAsia="el"/>
        </w:rPr>
        <w:t>3.</w:t>
      </w:r>
      <w:r>
        <w:rPr>
          <w:lang w:val="el" w:eastAsia="el"/>
        </w:rPr>
        <w:t xml:space="preserve"> Το αργότερο στις 30 Ιουνίου κάθε έτους, η Επιτροπή καταρτίζει, με βάση τις ετήσιες αυτές εκθέσεις της παραγράφου 2, συγκεφαλαιωτική έκθεση όπου αξιολογείται η πρόοδος που επιτεύχθηκε από τα κράτη μέλη και την Επιτροπή, ιδίως όσον αφορά την εφαρμογή του άρθρου 4, καθώς και η πιθανή ανάγκη για παράταση των προθεσμιών του άρθρου 4 παράγραφοι 2, 3 και 5, και τη διαβιβάζει για περαιτέρω εξέταση στα ενδιαφερόμενα μέρη και στην ομάδα τελωνειακής πολιτικής.</w:t>
      </w:r>
    </w:p>
    <w:p>
      <w:pPr>
        <w:pStyle w:val="MainText"/>
        <w:spacing w:before="120" w:after="0"/>
        <w:rPr>
          <w:lang w:val="el" w:eastAsia="el"/>
        </w:rPr>
      </w:pPr>
      <w:r>
        <w:rPr>
          <w:b/>
          <w:bCs/>
          <w:lang w:val="el" w:eastAsia="el"/>
        </w:rPr>
        <w:t>4.</w:t>
      </w:r>
      <w:r>
        <w:rPr>
          <w:lang w:val="el" w:eastAsia="el"/>
        </w:rPr>
        <w:t xml:space="preserve"> Επιπροσθέτως, η συγκεφαλαιωτική έκθεση της παραγράφου 3 περιλαμβάνει τα πορίσματα τυχόν επιτόπιων επισκέψεων παρακολούθησης που πραγματοποιήθηκαν. Επίσης, περιλαμβάνει τα πορίσματα ενδεχόμενων άλλων ελέγχων, μπορεί δε να καθορίζει μεθόδους και κριτήρια για τυχόν μεταγενέστερη αξιολόγηση, ιδίως όσον αφορά το βαθμό διαλειτουργικότητας των ηλεκτρονικών τελωνειακών συστημάτων και τον τρόπο λειτουργίας τους.</w:t>
      </w:r>
    </w:p>
    <w:p>
      <w:pPr>
        <w:pStyle w:val="Heading6"/>
        <w:spacing w:before="240" w:after="240"/>
        <w:rPr>
          <w:lang w:val="el" w:eastAsia="el"/>
        </w:rPr>
      </w:pPr>
      <w:r>
        <w:rPr>
          <w:i/>
          <w:iCs/>
          <w:lang w:val="el" w:eastAsia="el"/>
        </w:rPr>
        <w:t>Άρθρο 13</w:t>
      </w:r>
    </w:p>
    <w:p>
      <w:pPr>
        <w:pStyle w:val="Heading6"/>
        <w:spacing w:before="240" w:after="240"/>
        <w:rPr>
          <w:lang w:val="el" w:eastAsia="el"/>
        </w:rPr>
      </w:pPr>
      <w:r>
        <w:rPr>
          <w:b/>
          <w:bCs/>
          <w:lang w:val="el" w:eastAsia="el"/>
        </w:rPr>
        <w:t>Διαβουλεύσεις με τους οικονομικούς φορείς</w:t>
      </w:r>
    </w:p>
    <w:p>
      <w:pPr>
        <w:spacing w:before="240" w:after="240"/>
        <w:rPr>
          <w:lang w:val="el" w:eastAsia="el"/>
        </w:rPr>
      </w:pPr>
      <w:r>
        <w:rPr>
          <w:lang w:val="el" w:eastAsia="el"/>
        </w:rPr>
        <w:t>Η Επιτροπή και τα κράτη μέλη ζητούν τακτικά τη γνώμη των οικονομικών φορέων σε όλα τα στάδια προετοιμασίας, ανάπτυξης και εγκατάστασης των συστημάτων και υπηρεσιών που προβλέπει το άρθρο 4.</w:t>
      </w:r>
    </w:p>
    <w:p>
      <w:pPr>
        <w:spacing w:before="240" w:after="240"/>
        <w:rPr>
          <w:lang w:val="el" w:eastAsia="el"/>
        </w:rPr>
      </w:pPr>
      <w:r>
        <w:rPr>
          <w:lang w:val="el" w:eastAsia="el"/>
        </w:rPr>
        <w:t>Η Επιτροπή και τα κράτη μέλη θεσπίζουν μηχανισμό διαβουλεύσεων στα πλαίσια του οποίου συγκαλείται τακτικά αντιπροσωπευτικό δείγμα οικονομικών φορέων.</w:t>
      </w:r>
    </w:p>
    <w:p>
      <w:pPr>
        <w:pStyle w:val="Heading6"/>
        <w:spacing w:before="240" w:after="240"/>
        <w:rPr>
          <w:lang w:val="el" w:eastAsia="el"/>
        </w:rPr>
      </w:pPr>
      <w:r>
        <w:rPr>
          <w:i/>
          <w:iCs/>
          <w:lang w:val="el" w:eastAsia="el"/>
        </w:rPr>
        <w:t>Άρθρο 14</w:t>
      </w:r>
    </w:p>
    <w:p>
      <w:pPr>
        <w:pStyle w:val="Heading6"/>
        <w:spacing w:before="240" w:after="240"/>
        <w:rPr>
          <w:lang w:val="el" w:eastAsia="el"/>
        </w:rPr>
      </w:pPr>
      <w:r>
        <w:rPr>
          <w:b/>
          <w:bCs/>
          <w:lang w:val="el" w:eastAsia="el"/>
        </w:rPr>
        <w:t>Προσχωρούσες ή υποψήφιες χώρες</w:t>
      </w:r>
    </w:p>
    <w:p>
      <w:pPr>
        <w:spacing w:before="240" w:after="240"/>
        <w:rPr>
          <w:lang w:val="el" w:eastAsia="el"/>
        </w:rPr>
      </w:pPr>
      <w:r>
        <w:rPr>
          <w:lang w:val="el" w:eastAsia="el"/>
        </w:rPr>
        <w:t>Η Επιτροπή ενημερώνει τις χώρες με καθεστώς προσχωρούσας ή υποψήφιας χώρας σχετικά με την προετοιμασία, την ανάπτυξη και την εγκατάσταση των συστημάτων και υπηρεσιών που προβλέπει το άρθρο 4 και επιτρέπει στις εν λόγω χώρες να συμμετέχουν στα στάδια αυτά.</w:t>
      </w:r>
    </w:p>
    <w:p>
      <w:pPr>
        <w:pStyle w:val="Heading6"/>
        <w:spacing w:before="240" w:after="240"/>
        <w:rPr>
          <w:lang w:val="el" w:eastAsia="el"/>
        </w:rPr>
      </w:pPr>
      <w:r>
        <w:rPr>
          <w:i/>
          <w:iCs/>
          <w:lang w:val="el" w:eastAsia="el"/>
        </w:rPr>
        <w:t>Άρθρο 15</w:t>
      </w:r>
    </w:p>
    <w:p>
      <w:pPr>
        <w:pStyle w:val="Heading6"/>
        <w:spacing w:before="240" w:after="240"/>
        <w:rPr>
          <w:lang w:val="el" w:eastAsia="el"/>
        </w:rPr>
      </w:pPr>
      <w:r>
        <w:rPr>
          <w:b/>
          <w:bCs/>
          <w:lang w:val="el" w:eastAsia="el"/>
        </w:rPr>
        <w:t>Εφαρμοστικά μέτρα</w:t>
      </w:r>
    </w:p>
    <w:p>
      <w:pPr>
        <w:spacing w:before="240" w:after="240"/>
        <w:rPr>
          <w:lang w:val="el" w:eastAsia="el"/>
        </w:rPr>
      </w:pPr>
      <w:r>
        <w:rPr>
          <w:lang w:val="el" w:eastAsia="el"/>
        </w:rPr>
        <w:t>Τυχόν παράταση των προθεσμιών που προβλέπονται στο άρθρο 4 παράγραφοι 2, 3 και 5, αποφασίζεται με την κανονιστική διαδικασία με έλεγχο που αναφέρεται στο άρθρο 16 παράγραφος 2.</w:t>
      </w:r>
    </w:p>
    <w:p>
      <w:pPr>
        <w:pStyle w:val="Heading6"/>
        <w:spacing w:before="240" w:after="240"/>
        <w:rPr>
          <w:lang w:val="el" w:eastAsia="el"/>
        </w:rPr>
      </w:pPr>
      <w:r>
        <w:rPr>
          <w:i/>
          <w:iCs/>
          <w:lang w:val="el" w:eastAsia="el"/>
        </w:rPr>
        <w:t>Άρθρο 16</w:t>
      </w:r>
    </w:p>
    <w:p>
      <w:pPr>
        <w:pStyle w:val="Heading6"/>
        <w:spacing w:before="240" w:after="240"/>
        <w:rPr>
          <w:lang w:val="el" w:eastAsia="el"/>
        </w:rPr>
      </w:pPr>
      <w:r>
        <w:rPr>
          <w:b/>
          <w:bCs/>
          <w:lang w:val="el" w:eastAsia="el"/>
        </w:rPr>
        <w:t>Διαδικασία επιτροπής</w:t>
      </w:r>
    </w:p>
    <w:p>
      <w:pPr>
        <w:pStyle w:val="MainText"/>
        <w:spacing w:before="120" w:after="0"/>
        <w:rPr>
          <w:lang w:val="el" w:eastAsia="el"/>
        </w:rPr>
      </w:pPr>
      <w:r>
        <w:rPr>
          <w:b/>
          <w:bCs/>
          <w:lang w:val="el" w:eastAsia="el"/>
        </w:rPr>
        <w:t>1.</w:t>
      </w:r>
      <w:r>
        <w:rPr>
          <w:lang w:val="el" w:eastAsia="el"/>
        </w:rPr>
        <w:t xml:space="preserve"> Η Επιτροπή επικουρείται από την επιτροπή τελωνειακού κώδικα.</w:t>
      </w:r>
    </w:p>
    <w:p>
      <w:pPr>
        <w:pStyle w:val="MainText"/>
        <w:spacing w:before="120" w:after="0"/>
        <w:rPr>
          <w:lang w:val="el" w:eastAsia="el"/>
        </w:rPr>
      </w:pPr>
      <w:r>
        <w:rPr>
          <w:b/>
          <w:bCs/>
          <w:lang w:val="el" w:eastAsia="el"/>
        </w:rPr>
        <w:t>2.</w:t>
      </w:r>
      <w:r>
        <w:rPr>
          <w:lang w:val="el" w:eastAsia="el"/>
        </w:rPr>
        <w:t xml:space="preserve"> Στις περιπτώσεις που γίνεται μνεία της παρούσας παραγράφου, εφαρμόζεται το άρθρο 5α παράγραφοι 1 έως 4 και το άρθρο 7 της απόφασης 1999/468/ΕΚ, τηρουμένων των διατάξεων του άρθρου 8 της ίδιας απόφασης.</w:t>
      </w:r>
    </w:p>
    <w:p>
      <w:pPr>
        <w:pStyle w:val="Heading6"/>
        <w:spacing w:before="240" w:after="240"/>
        <w:rPr>
          <w:lang w:val="el" w:eastAsia="el"/>
        </w:rPr>
      </w:pPr>
      <w:r>
        <w:rPr>
          <w:i/>
          <w:iCs/>
          <w:lang w:val="el" w:eastAsia="el"/>
        </w:rPr>
        <w:t>Άρθρο 17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παρούσα απόφαση αρχίζει να ισχύει την εικοστή ημέρα από τη δημοσίευσή της στην </w:t>
      </w:r>
      <w:r>
        <w:rPr>
          <w:i/>
          <w:iCs/>
          <w:lang w:val="el" w:eastAsia="el"/>
        </w:rPr>
        <w:t>Επίσημη Εφημερίδα της Ευρωπαϊκής Ένωσης</w:t>
      </w:r>
      <w:r>
        <w:rPr>
          <w:lang w:val="el" w:eastAsia="el"/>
        </w:rPr>
        <w:t>.</w:t>
      </w:r>
    </w:p>
    <w:p>
      <w:pPr>
        <w:pStyle w:val="Heading6"/>
        <w:spacing w:before="240" w:after="240"/>
        <w:rPr>
          <w:lang w:val="el" w:eastAsia="el"/>
        </w:rPr>
      </w:pPr>
      <w:r>
        <w:rPr>
          <w:i/>
          <w:iCs/>
          <w:lang w:val="el" w:eastAsia="el"/>
        </w:rPr>
        <w:t>Άρθρο 18</w:t>
      </w:r>
    </w:p>
    <w:p>
      <w:pPr>
        <w:pStyle w:val="Heading6"/>
        <w:spacing w:before="240" w:after="240"/>
        <w:rPr>
          <w:lang w:val="el" w:eastAsia="el"/>
        </w:rPr>
      </w:pPr>
      <w:r>
        <w:rPr>
          <w:b/>
          <w:bCs/>
          <w:lang w:val="el" w:eastAsia="el"/>
        </w:rPr>
        <w:t>Αποδέκτες</w:t>
      </w:r>
    </w:p>
    <w:p>
      <w:pPr>
        <w:spacing w:before="240" w:after="240"/>
        <w:rPr>
          <w:lang w:val="el" w:eastAsia="el"/>
        </w:rPr>
      </w:pPr>
      <w:r>
        <w:rPr>
          <w:lang w:val="el" w:eastAsia="el"/>
        </w:rPr>
        <w:t>Η παρούσα απόφαση απευθύνεται στα κράτη μέλη.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23"/>
        <w:gridCol w:w="243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Στρασβούργο, 15 Ιανουαρίου 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Για το Ευρωπαϊκό Κοινοβούλιο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Για το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 Πρόεδρος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H.-G. PÖTTERING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 LENARCIC</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