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453/2008</w:t>
      </w:r>
    </w:p>
    <w:p>
      <w:pPr>
        <w:pStyle w:val="PreambelText"/>
        <w:spacing w:before="240" w:after="240"/>
        <w:rPr>
          <w:lang w:val="el" w:eastAsia="el"/>
        </w:rPr>
      </w:pPr>
      <w:r>
        <w:rPr>
          <w:lang w:val="el" w:eastAsia="el"/>
        </w:rPr>
        <w:t>Τροποποίηση των άρθρων 78 και 81 του Κώδικα Τροφίμων σε συμφωνία με τον Κανονισμό (ΕΚ) 445/2007 του Συμβουλίου της 23ης Απριλίου 2007 (EE L ’106/24.4.2007) για ορισμένες λεπτομέρειες εφαρμογής του κανονισμού (ΕΚ) αριθμ. 2991/1994 του Συμβουλίου για τον καθορισμό των κανόνων για λιπαρές ουσίες για επάλειψη και του κανονισμού (ΕΟΚ) υπ’ αριθμ. 1898/1987 του Συμβουλίου σχετικά με την προστασία της ονομασίας του γάλακτος και των γαλακτοκομικών προϊόντων κατά τη διάθεσή τους στο εμπόριο.</w:t>
      </w:r>
    </w:p>
    <w:p>
      <w:pPr>
        <w:pStyle w:val="enacting"/>
        <w:spacing w:before="120" w:after="0"/>
        <w:rPr>
          <w:lang w:val="el" w:eastAsia="el"/>
        </w:rPr>
      </w:pPr>
      <w:r>
        <w:rPr>
          <w:b/>
          <w:bCs/>
          <w:lang w:val="el" w:eastAsia="el"/>
        </w:rPr>
        <w:t>Ο ΥΠΟΥΡΓΟΣ ΚΑΙ Ο ΥΦΥΠΟΥΡΓΟΣΟΙΚΟΝΟΜΙΑΣ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υπ’ αριθμ. οικ. 3058/5.11.2008 έγγραφο της Διεύθυνσης Τροφίμων του Γενικού Χημείου του Κράτους.</w:t>
      </w:r>
    </w:p>
    <w:p>
      <w:pPr>
        <w:pStyle w:val="PreambelText"/>
        <w:spacing w:before="240" w:after="240"/>
        <w:rPr>
          <w:lang w:val="el" w:eastAsia="el"/>
        </w:rPr>
      </w:pPr>
      <w:r>
        <w:rPr>
          <w:lang w:val="el" w:eastAsia="el"/>
        </w:rPr>
        <w:t>2) Τις διατάξεις του άρθρου 1 (παρ. 1,2 και 3) του ν. 1338/1983 «Εφαρμογή του Κοινοτικού Δικαίου» (Φ.Ε.Κ. 34/Α/1983) όπως τροποποιήθηκε από το άρθρο 6 του ν. 1440/1984 «Συμμετοχή της Ελλάδος στο Κεφάλαιο, στα αποθεματικά και στις προβλέψεις της Ευρωπαϊκή Τράπεζας Επενδύσεων, στο Κεφάλαιο της Ευρωπαϊκής Κοινότητος Άνθρακος και Χάλυβος και του Οργανισμού Εφοδιασμού ΕΥΡΑΤΟΜ» (Φ.Ε.Κ. 70/Α/1984) καθώς και το άρθρο 65 του ν. 1892/1990 (Φ.Ε.Κ. 101/Α/1990).</w:t>
      </w:r>
    </w:p>
    <w:p>
      <w:pPr>
        <w:pStyle w:val="PreambelText"/>
        <w:spacing w:before="240" w:after="240"/>
        <w:rPr>
          <w:lang w:val="el" w:eastAsia="el"/>
        </w:rPr>
      </w:pPr>
      <w:r>
        <w:rPr>
          <w:lang w:val="el" w:eastAsia="el"/>
        </w:rPr>
        <w:t>3) Το εδάφιο δ της παρ. 8 του άρθρου 6 του ν. 4328/1929 (Φ.Ε.Κ. 272/Α/1929) «Περί συστάσεως Γενικού Χημείου του Κράτους», όπως αντικαταστάθηκε από την παράγραφο 6 του άρθρου 11 του ν. 2343/1995, (Φ.Ε.Κ. 211/Α/11.10.1995).</w:t>
      </w:r>
    </w:p>
    <w:p>
      <w:pPr>
        <w:pStyle w:val="PreambelText"/>
        <w:spacing w:before="240" w:after="240"/>
        <w:rPr>
          <w:lang w:val="el" w:eastAsia="el"/>
        </w:rPr>
      </w:pPr>
      <w:r>
        <w:rPr>
          <w:lang w:val="el" w:eastAsia="el"/>
        </w:rPr>
        <w:t>4) Το άρθρο 4 του διατάγματος της 31ης Οκτωβρίου 1929 «Περί κανονισμού της λειτουργίας και των εργασιών του Ανωτάτου Χημικού Συμβουλίου» (Φ.Ε.Κ. 391/ Α/1929).</w:t>
      </w:r>
    </w:p>
    <w:p>
      <w:pPr>
        <w:pStyle w:val="PreambelText"/>
        <w:spacing w:before="240" w:after="240"/>
        <w:rPr>
          <w:lang w:val="el" w:eastAsia="el"/>
        </w:rPr>
      </w:pPr>
      <w:r>
        <w:rPr>
          <w:lang w:val="el" w:eastAsia="el"/>
        </w:rPr>
        <w:t>5) Το άρθρο 1 του ν. 115/1975 «Περί τροποποιήσεως διατάξεων τινών του ν. 4328/1929» (Φ.Ε.Κ. 172/Α/1975).</w:t>
      </w:r>
    </w:p>
    <w:p>
      <w:pPr>
        <w:pStyle w:val="PreambelText"/>
        <w:spacing w:before="240" w:after="240"/>
        <w:rPr>
          <w:lang w:val="el" w:eastAsia="el"/>
        </w:rPr>
      </w:pPr>
      <w:r>
        <w:rPr>
          <w:lang w:val="el" w:eastAsia="el"/>
        </w:rPr>
        <w:t>Τα π.δ. 284/1988 και 543/1989 «Οργανισμός του Υπουργείου Οικονομικών» (Φ.Ε.Κ. 128 και 165/Α/1988 και 229/Α/1989).</w:t>
      </w:r>
    </w:p>
    <w:p>
      <w:pPr>
        <w:pStyle w:val="PreambelText"/>
        <w:spacing w:before="240" w:after="240"/>
        <w:rPr>
          <w:lang w:val="el" w:eastAsia="el"/>
        </w:rPr>
      </w:pPr>
      <w:r>
        <w:rPr>
          <w:lang w:val="el" w:eastAsia="el"/>
        </w:rPr>
        <w:t>7) Την υπ’ αριθμ. 1078204/927/0006 Α/6.8.1992 απόφαση των Υπουργών Προεδρίας και Οικονομικών «Περιορισμός Συλλογικών Οργάνων του Υπουργείου Οικονομικών» (Φ.Ε.Κ. 517/Β/1992).</w:t>
      </w:r>
    </w:p>
    <w:p>
      <w:pPr>
        <w:pStyle w:val="PreambelText"/>
        <w:spacing w:before="240" w:after="240"/>
        <w:rPr>
          <w:lang w:val="el" w:eastAsia="el"/>
        </w:rPr>
      </w:pPr>
      <w:r>
        <w:rPr>
          <w:lang w:val="el" w:eastAsia="el"/>
        </w:rPr>
        <w:t>8) Την υπ’ αριθμ. 1666/ΔΙΟΕ 89/13.1.2009 απόφαση του Πρωθυπουργού και του Υπουργού Οικονομίας και Οικονομικών «Καθορισμός αρμοδιοτήτων των Υφυπουργών Οικονομίας και Οικονομικών» (Φ.Ε.Κ. 40/Β/16.1.2009).</w:t>
      </w:r>
    </w:p>
    <w:p>
      <w:pPr>
        <w:pStyle w:val="PreambelText"/>
        <w:spacing w:before="240" w:after="240"/>
        <w:rPr>
          <w:lang w:val="el" w:eastAsia="el"/>
        </w:rPr>
      </w:pPr>
      <w:r>
        <w:rPr>
          <w:lang w:val="el" w:eastAsia="el"/>
        </w:rPr>
        <w:t>9) Τις διατάξεις του άρθρου 90 του «Κώδικα Νομοθεσίας για την Κυβέρνηση και τα κυβερνητικά όργανα» που τέθηκε σε ισχύ με το άρθρο πρώτο του π.δ. 63/2005 (Φ.Ε.Κ. 98/Α/2005)και το γεγονός ότι από τις διατάξεις της παρούσας δεν προκύπτει δαπάνη εις βάρος του κρατικού προϋπολογισμού, αποφασίζουμε:</w:t>
      </w:r>
    </w:p>
    <w:p>
      <w:pPr>
        <w:pStyle w:val="PreambelText"/>
        <w:spacing w:before="240" w:after="240"/>
        <w:rPr>
          <w:lang w:val="el" w:eastAsia="el"/>
        </w:rPr>
      </w:pPr>
      <w:r>
        <w:rPr>
          <w:lang w:val="el" w:eastAsia="el"/>
        </w:rPr>
        <w:t>Εγκρίνουμε την απόφαση υπ’ αριθμ. 453/2008 του Ανωτάτου Χημικού Συμβουλίου η οποία ελήφθη κατά τη συνεδρία της 7.11.2008 και η οποία έχει ως εξής:</w:t>
      </w:r>
    </w:p>
    <w:p>
      <w:pPr>
        <w:pStyle w:val="enacting"/>
        <w:spacing w:before="120" w:after="0"/>
        <w:rPr>
          <w:lang w:val="el" w:eastAsia="el"/>
        </w:rPr>
      </w:pPr>
      <w:r>
        <w:rPr>
          <w:lang w:val="el" w:eastAsia="el"/>
        </w:rPr>
        <w:t>ΓΕΝΙΚΟ ΧΗΜΕΙΟ ΤΟΥ ΚΡΑΤΟΥΣ</w:t>
      </w:r>
      <w:r>
        <w:rPr>
          <w:lang w:val="el" w:eastAsia="el"/>
        </w:rPr>
        <w:br/>
      </w:r>
      <w:r>
        <w:rPr>
          <w:lang w:val="el" w:eastAsia="el"/>
        </w:rPr>
        <w:t>ΑΝΩΤΑΤΟ ΧΗΜΙΚΟ ΣΥΜΒΟΥΛΙΟ</w:t>
      </w:r>
    </w:p>
    <w:p>
      <w:pPr>
        <w:pStyle w:val="PreambelText"/>
        <w:spacing w:before="240" w:after="240"/>
        <w:rPr>
          <w:lang w:val="el" w:eastAsia="el"/>
        </w:rPr>
      </w:pPr>
      <w:r>
        <w:rPr>
          <w:lang w:val="el" w:eastAsia="el"/>
        </w:rPr>
        <w:t>Εγκρίνουμε την τροποποίηση των άρθρων 78 και 81 του Κώδικα Τροφίμων σύμφωνα με τον κωδικοποιημένο Καν (ΕΚ) υπ’ αριθμ. 445/2007 του Συμβουλίου της 23ης Απριλίου 2007 (EE L 106/24.4.2007) για ορισμένες λεπτομέρειες εφαρμογής του κανονισμού (ΕΚ) αριθμ. 2991/1994 του Συμβουλίου για τον καθορισμό των κανόνων για λιπαρές ουσίες για επάλειψη και του κανονισμού (ΕΟΚ) υπ’ αριθμ. 1898/1987 του Συμβουλίου σχετικά με την προστασία της ονομασίας του γάλακτος και των γαλακτοκομικών προϊόντων κατά τη διάθεσή της στο εμπόριο, ως ακολούθως:</w:t>
      </w:r>
    </w:p>
    <w:p>
      <w:pPr>
        <w:pStyle w:val="Heading6"/>
        <w:spacing w:before="240" w:after="240"/>
        <w:rPr>
          <w:lang w:val="el" w:eastAsia="el"/>
        </w:rPr>
      </w:pPr>
      <w:r>
        <w:rPr>
          <w:rStyle w:val="article-num"/>
          <w:lang w:val="el" w:eastAsia="el"/>
        </w:rPr>
        <w:t>Άρθρο 78</w:t>
      </w:r>
    </w:p>
    <w:p>
      <w:pPr>
        <w:pStyle w:val="MainText"/>
        <w:spacing w:before="120" w:after="0"/>
        <w:rPr>
          <w:lang w:val="el" w:eastAsia="el"/>
        </w:rPr>
      </w:pPr>
      <w:r>
        <w:rPr>
          <w:b/>
          <w:bCs/>
          <w:lang w:val="el" w:eastAsia="el"/>
        </w:rPr>
        <w:t>1.</w:t>
      </w:r>
      <w:r>
        <w:rPr>
          <w:lang w:val="el" w:eastAsia="el"/>
        </w:rPr>
        <w:t xml:space="preserve"> Στην παράγραφο 9α) εδάφιο (ii), το στοιχείο (β) αντικαθίσταται από το ακόλουθο κείμενο:</w:t>
      </w:r>
    </w:p>
    <w:p>
      <w:pPr>
        <w:spacing w:before="240" w:after="240"/>
        <w:rPr>
          <w:lang w:val="el" w:eastAsia="el"/>
        </w:rPr>
      </w:pPr>
      <w:r>
        <w:rPr>
          <w:lang w:val="el" w:eastAsia="el"/>
        </w:rPr>
        <w:t>« (β) η μέση περιεκτικότητα σε λιπαρές ουσίες δεν μπορεί να αποκλίνει περισσότερο από ±1% από το δηλωθέν εκατοστιαίο ποσοστό. Τα μεμονωμένα δείγματα δεν μπορούν να αποκλίνουν περισσότερο από ±2% από το δηλωθέν εκατοστιαίο ποσοστό.</w:t>
      </w:r>
    </w:p>
    <w:p>
      <w:pPr>
        <w:spacing w:before="240" w:after="240"/>
        <w:rPr>
          <w:lang w:val="el" w:eastAsia="el"/>
        </w:rPr>
      </w:pPr>
      <w:r>
        <w:rPr>
          <w:lang w:val="el" w:eastAsia="el"/>
        </w:rPr>
        <w:t>O έλεγχος της δήλωσης σχετικά με την περιεκτικότητα σε λιπαρές ουσίες θα γίνεται σύμφωνα με το Παράρτημα ΙΙ του καν. αριθ. 445/2007 του Συμβουλίου.»</w:t>
      </w:r>
    </w:p>
    <w:p>
      <w:pPr>
        <w:pStyle w:val="MainText"/>
        <w:spacing w:before="120" w:after="0"/>
        <w:rPr>
          <w:lang w:val="el" w:eastAsia="el"/>
        </w:rPr>
      </w:pPr>
      <w:r>
        <w:rPr>
          <w:b/>
          <w:bCs/>
          <w:lang w:val="el" w:eastAsia="el"/>
        </w:rPr>
        <w:t>2.</w:t>
      </w:r>
      <w:r>
        <w:rPr>
          <w:lang w:val="el" w:eastAsia="el"/>
        </w:rPr>
        <w:t xml:space="preserve"> Στην παράγραφο 9α) εδάφιο (ii), το στοιχείο (γ) αντικαθίσταται από το ακόλουθο κείμενο:</w:t>
      </w:r>
    </w:p>
    <w:p>
      <w:pPr>
        <w:spacing w:before="240" w:after="240"/>
        <w:rPr>
          <w:lang w:val="el" w:eastAsia="el"/>
        </w:rPr>
      </w:pPr>
      <w:r>
        <w:rPr>
          <w:lang w:val="el" w:eastAsia="el"/>
        </w:rPr>
        <w:t>« (γ) σε κάθε περίπτωση η μέση περιεκτικότητα σε λιπαρές ουσίες πρέπει να παραμένει εντός των ορίων τα οποία καθορίζονται στην παράγραφο 1».</w:t>
      </w:r>
    </w:p>
    <w:p>
      <w:pPr>
        <w:pStyle w:val="Heading6"/>
        <w:spacing w:before="240" w:after="240"/>
        <w:rPr>
          <w:lang w:val="el" w:eastAsia="el"/>
        </w:rPr>
      </w:pPr>
      <w:r>
        <w:rPr>
          <w:rStyle w:val="article-num"/>
          <w:lang w:val="el" w:eastAsia="el"/>
        </w:rPr>
        <w:t>Άρθρο 81</w:t>
      </w:r>
    </w:p>
    <w:p>
      <w:pPr>
        <w:pStyle w:val="MainText"/>
        <w:spacing w:before="120" w:after="0"/>
        <w:rPr>
          <w:lang w:val="el" w:eastAsia="el"/>
        </w:rPr>
      </w:pPr>
      <w:r>
        <w:rPr>
          <w:b/>
          <w:bCs/>
          <w:lang w:val="el" w:eastAsia="el"/>
        </w:rPr>
        <w:t>1.</w:t>
      </w:r>
      <w:r>
        <w:rPr>
          <w:lang w:val="el" w:eastAsia="el"/>
        </w:rPr>
        <w:t xml:space="preserve"> Στην παράγραφο 5γ) στο εδάφιο (i) η καταχώρηση για το «Brandy butter….» αντικαθίσταται από το ακόλουθο κείμενο:</w:t>
      </w:r>
    </w:p>
    <w:p>
      <w:pPr>
        <w:spacing w:before="240" w:after="240"/>
        <w:rPr>
          <w:lang w:val="el" w:eastAsia="el"/>
        </w:rPr>
      </w:pPr>
      <w:r>
        <w:rPr>
          <w:lang w:val="el" w:eastAsia="el"/>
        </w:rPr>
        <w:t>«Brandy butter – «Sherry butter – «Rum butter» για πρoϊόv ζαχαρoύχo με αλκoόλ περιεκτικότητας τουλάχιστον 20% σε γαλακτικές λιπαρές ουσίες».</w:t>
      </w:r>
    </w:p>
    <w:p>
      <w:pPr>
        <w:spacing w:before="240" w:after="240"/>
        <w:rPr>
          <w:lang w:val="el" w:eastAsia="el"/>
        </w:rPr>
      </w:pPr>
      <w:r>
        <w:rPr>
          <w:lang w:val="el" w:eastAsia="el"/>
        </w:rPr>
        <w:t>2. Στην παράγραφο 6α) το εδάφιο (β) αντικαθίσταται από το ακόλουθο κείμενο:</w:t>
      </w:r>
    </w:p>
    <w:p>
      <w:pPr>
        <w:spacing w:before="240" w:after="240"/>
        <w:rPr>
          <w:lang w:val="el" w:eastAsia="el"/>
        </w:rPr>
      </w:pPr>
      <w:r>
        <w:rPr>
          <w:lang w:val="el" w:eastAsia="el"/>
        </w:rPr>
        <w:t>« (β) η μέση περιεκτικότητα σε λιπαρές ουσίες δεν μπορεί να αποκλίνει περισσότερο από ±1% από το δηλωθέν εκατοστιαίο ποσοστό. Τα μεμονωμένα δείγματα δεν μπορούν να αποκλίνουν περισσότερο από ±2% από το δηλωθέν εκατοστιαίο ποσοστό.</w:t>
      </w:r>
    </w:p>
    <w:p>
      <w:pPr>
        <w:spacing w:before="240" w:after="240"/>
        <w:rPr>
          <w:lang w:val="el" w:eastAsia="el"/>
        </w:rPr>
      </w:pPr>
      <w:r>
        <w:rPr>
          <w:lang w:val="el" w:eastAsia="el"/>
        </w:rPr>
        <w:t>O έλεγχος της δήλωσης σχετικά με την περιεκτικότητα σε λιπαρές ουσίες θα γίνεται σύμφωνα με το Παράρτημα ΙΙ του καν. αριθ. 445/2007 του Συμβουλίου.»</w:t>
      </w:r>
    </w:p>
    <w:p>
      <w:pPr>
        <w:pStyle w:val="MainText"/>
        <w:spacing w:before="120" w:after="0"/>
        <w:rPr>
          <w:lang w:val="el" w:eastAsia="el"/>
        </w:rPr>
      </w:pPr>
      <w:r>
        <w:rPr>
          <w:b/>
          <w:bCs/>
          <w:lang w:val="el" w:eastAsia="el"/>
        </w:rPr>
        <w:t>3.</w:t>
      </w:r>
      <w:r>
        <w:rPr>
          <w:lang w:val="el" w:eastAsia="el"/>
        </w:rPr>
        <w:t xml:space="preserve"> Στην παράγραφο 6α) το εδάφιο (γ) αντικαθίσταται από το ακόλουθο κείμενο:</w:t>
      </w:r>
    </w:p>
    <w:p>
      <w:pPr>
        <w:spacing w:before="240" w:after="240"/>
        <w:rPr>
          <w:lang w:val="el" w:eastAsia="el"/>
        </w:rPr>
      </w:pPr>
      <w:r>
        <w:rPr>
          <w:lang w:val="el" w:eastAsia="el"/>
        </w:rPr>
        <w:t>« (γ) σε κάθε περίπτωση η μέση περιεκτικότητα σε λιπαρές ουσίες πρέπει να παραμένει εντός των ορίων τα οποία καθορίζονται στην παράγραφο 5 εδάφιο α)»</w:t>
      </w:r>
    </w:p>
    <w:p>
      <w:pPr>
        <w:pStyle w:val="MainText"/>
        <w:spacing w:before="120" w:after="0"/>
        <w:rPr>
          <w:lang w:val="el" w:eastAsia="el"/>
        </w:rPr>
      </w:pPr>
      <w:r>
        <w:rPr>
          <w:b/>
          <w:bCs/>
          <w:lang w:val="el" w:eastAsia="el"/>
        </w:rPr>
        <w:t>4.</w:t>
      </w:r>
      <w:r>
        <w:rPr>
          <w:lang w:val="el" w:eastAsia="el"/>
        </w:rPr>
        <w:t xml:space="preserve"> Στην παράγραφο 6α) το εδάφιο (ix) αντικαθίσταται από το κείμενο:</w:t>
      </w:r>
    </w:p>
    <w:p>
      <w:pPr>
        <w:spacing w:before="240" w:after="240"/>
        <w:rPr>
          <w:lang w:val="el" w:eastAsia="el"/>
        </w:rPr>
      </w:pPr>
      <w:r>
        <w:rPr>
          <w:lang w:val="el" w:eastAsia="el"/>
        </w:rPr>
        <w:t>« (ix) Η ονομασία «βούτυρο» μπορεί να χρησιμοποιηθεί για σύνθετα προϊόντα που περιέχουν λιγότερο από 75% αλλά τουλάχιστον 62% λιπαρές ουσίες γάλακτος εφόσον πληρούνται οι λοιπές προϋποθέσεις του στοιχείου (viii) και εφόσον η περιγραφή του προϊόντος περιλαμβάνει τον όρο «παρασκεύασμα από βούτυρο».</w:t>
      </w:r>
    </w:p>
    <w:p>
      <w:pPr>
        <w:spacing w:before="240" w:after="240"/>
        <w:rPr>
          <w:lang w:val="el" w:eastAsia="el"/>
        </w:rPr>
      </w:pPr>
      <w:r>
        <w:rPr>
          <w:lang w:val="el" w:eastAsia="el"/>
        </w:rPr>
        <w:t>5. Στην παράγραφο 6α) προστίθεται το εδάφιο (x):</w:t>
      </w:r>
    </w:p>
    <w:p>
      <w:pPr>
        <w:spacing w:before="240" w:after="240"/>
        <w:rPr>
          <w:lang w:val="el" w:eastAsia="el"/>
        </w:rPr>
      </w:pPr>
      <w:r>
        <w:rPr>
          <w:lang w:val="el" w:eastAsia="el"/>
        </w:rPr>
        <w:t>« (x) Κατά παρέκκλιση των στοιχείων (viii) και (ix), η ονομασία «βούτυρο» μπορεί να χρησιμοποιηθεί σε συνδυασμό με μία ή περισσότερες λέξεις χαρακτηρισμού του προϊόντος: «Αλκοολούχο βούτυρο (βούτυρο που περιέχει αλκοολούχα ποτά), με σύσταση: βούτυρο, αλκοολούχο ποτό, ζάχαρη και ελάχιστη περιεκτικότητα σε λιπαρές ουσίες γάλακτος 34%.»</w:t>
      </w:r>
    </w:p>
    <w:p>
      <w:pPr>
        <w:spacing w:before="240" w:after="240"/>
        <w:rPr>
          <w:lang w:val="el" w:eastAsia="el"/>
        </w:rPr>
      </w:pPr>
      <w:r>
        <w:rPr>
          <w:lang w:val="el" w:eastAsia="el"/>
        </w:rPr>
        <w:t>6. Στην παράγραφο 6α) προστίθεται το εδάφιο (xi):</w:t>
      </w:r>
    </w:p>
    <w:p>
      <w:pPr>
        <w:spacing w:before="240" w:after="240"/>
        <w:rPr>
          <w:lang w:val="el" w:eastAsia="el"/>
        </w:rPr>
      </w:pPr>
      <w:r>
        <w:rPr>
          <w:lang w:val="el" w:eastAsia="el"/>
        </w:rPr>
        <w:t>« (xi) Η χρήση της ονομασίας «βούτυρο» κατά την έννοια των στοιχείων (viii), (ix) και (x) υπόκειται στον όρο αναγραφής στη σήμανση και την παρουσίαση των προϊόντων, της περιεκτικότητας σε λιπαρές ουσίες γάλακτος και, εφόσον άλλα προστιθέμενα συστατικά περιέχουν λιπαρές ουσίες, της συνολικής περιεκτικότητας σε λιπαρές ουσίες».</w:t>
      </w:r>
    </w:p>
    <w:p>
      <w:pPr>
        <w:pStyle w:val="MainText"/>
        <w:spacing w:before="120" w:after="0"/>
        <w:rPr>
          <w:lang w:val="el" w:eastAsia="el"/>
        </w:rPr>
      </w:pPr>
      <w:r>
        <w:rPr>
          <w:b/>
          <w:bCs/>
          <w:lang w:val="el" w:eastAsia="el"/>
        </w:rPr>
        <w:t>7.</w:t>
      </w:r>
      <w:r>
        <w:rPr>
          <w:lang w:val="el" w:eastAsia="el"/>
        </w:rPr>
        <w:t xml:space="preserve"> Στην παράγραφο 6α) προστίθεται το εδάφιο (xii):</w:t>
      </w:r>
    </w:p>
    <w:p>
      <w:pPr>
        <w:spacing w:before="240" w:after="240"/>
        <w:rPr>
          <w:lang w:val="el" w:eastAsia="el"/>
        </w:rPr>
      </w:pPr>
      <w:r>
        <w:rPr>
          <w:lang w:val="el" w:eastAsia="el"/>
        </w:rPr>
        <w:t>« (xii) Ο όρος «παρασκεύασμα από βούτυρο» του στοιχείου (ix) και οι ενδείξεις του στοιχείου (xi) πρέπει να αναγράφονται σε εμφανές μέρος και να είναι ευδιάκριτες και ευανάγνωστες».</w:t>
      </w:r>
    </w:p>
    <w:p>
      <w:pPr>
        <w:spacing w:before="240" w:after="240"/>
        <w:rPr>
          <w:lang w:val="el" w:eastAsia="el"/>
        </w:rPr>
      </w:pPr>
      <w:r>
        <w:rPr>
          <w:lang w:val="el" w:eastAsia="el"/>
        </w:rPr>
        <w:t>Ο Πρόεδρος Η Γραμματέας</w:t>
      </w:r>
    </w:p>
    <w:p>
      <w:pPr>
        <w:spacing w:before="240" w:after="240"/>
        <w:rPr>
          <w:lang w:val="el" w:eastAsia="el"/>
        </w:rPr>
      </w:pPr>
      <w:r>
        <w:rPr>
          <w:lang w:val="el" w:eastAsia="el"/>
        </w:rPr>
        <w:t>Ι. ΓΕΡΟΘΑΝΑΣΗΣ Α. ΑΛΙΒΕΡΤΗ</w:t>
      </w:r>
    </w:p>
    <w:p>
      <w:pPr>
        <w:spacing w:before="240" w:after="240"/>
        <w:rPr>
          <w:lang w:val="el" w:eastAsia="el"/>
        </w:rPr>
      </w:pPr>
      <w:r>
        <w:rPr>
          <w:lang w:val="el" w:eastAsia="el"/>
        </w:rPr>
        <w:t>Τα μέλη: Κ. Σταφυλάκης, Ν. Κατσίμπας, Ι. Χροναίος, Δ. Τσίχλης, Δ. Αντωνόπουλος, Ν. Νομικός, Σ. Γωγάκος.</w:t>
      </w:r>
    </w:p>
    <w:p>
      <w:pPr>
        <w:spacing w:before="240" w:after="240"/>
        <w:rPr>
          <w:lang w:val="el" w:eastAsia="el"/>
        </w:rPr>
      </w:pPr>
      <w:r>
        <w:rPr>
          <w:lang w:val="el" w:eastAsia="el"/>
        </w:rPr>
        <w:t>Αθήνα, 9 Φεβρουαρίου 2009</w:t>
      </w:r>
    </w:p>
    <w:p>
      <w:pPr>
        <w:spacing w:before="240" w:after="240"/>
        <w:rPr>
          <w:lang w:val="el" w:eastAsia="el"/>
        </w:rPr>
      </w:pPr>
      <w:r>
        <w:rPr>
          <w:lang w:val="el" w:eastAsia="el"/>
        </w:rPr>
        <w:t>Ο ΥΠΟΥΡΓΟΣ</w:t>
      </w:r>
    </w:p>
    <w:p>
      <w:pPr>
        <w:spacing w:before="240" w:after="240"/>
        <w:rPr>
          <w:lang w:val="el" w:eastAsia="el"/>
        </w:rPr>
      </w:pPr>
      <w:r>
        <w:rPr>
          <w:lang w:val="el" w:eastAsia="el"/>
        </w:rPr>
        <w:t>ΟΙΚΟΝΟΜΙΑΣ ΚΑΙ ΟΙΚΟΝΟΜΙΚΩΝ</w:t>
      </w:r>
    </w:p>
    <w:p>
      <w:pPr>
        <w:spacing w:before="240" w:after="240"/>
        <w:rPr>
          <w:lang w:val="el" w:eastAsia="el"/>
        </w:rPr>
      </w:pPr>
      <w:r>
        <w:rPr>
          <w:b/>
          <w:bCs/>
          <w:lang w:val="el" w:eastAsia="el"/>
        </w:rPr>
        <w:t>Ι. ΠΑΠΑΘΑΝΑΣΙΟΥ</w:t>
      </w:r>
    </w:p>
    <w:p>
      <w:pPr>
        <w:spacing w:before="240" w:after="240"/>
        <w:rPr>
          <w:lang w:val="el" w:eastAsia="el"/>
        </w:rPr>
      </w:pPr>
      <w:r>
        <w:rPr>
          <w:lang w:val="el" w:eastAsia="el"/>
        </w:rPr>
        <w:t>Ο ΥΦΥΠΟΥΡΓΟΣ</w:t>
      </w:r>
    </w:p>
    <w:p>
      <w:pPr>
        <w:spacing w:before="240" w:after="240"/>
        <w:rPr>
          <w:lang w:val="el" w:eastAsia="el"/>
        </w:rPr>
      </w:pPr>
      <w:r>
        <w:rPr>
          <w:lang w:val="el" w:eastAsia="el"/>
        </w:rPr>
        <w:t>ΟΙΚΟΝΟΜΙΑΣ</w:t>
      </w:r>
    </w:p>
    <w:p>
      <w:pPr>
        <w:spacing w:before="240" w:after="240"/>
        <w:rPr>
          <w:lang w:val="el" w:eastAsia="el"/>
        </w:rPr>
      </w:pPr>
      <w:r>
        <w:rPr>
          <w:lang w:val="el" w:eastAsia="el"/>
        </w:rPr>
        <w:t>ΚΑΙ ΟΙΚΟΝΟΜΙΚΩΝ</w:t>
      </w:r>
    </w:p>
    <w:p>
      <w:pPr>
        <w:spacing w:before="240" w:after="240"/>
        <w:rPr>
          <w:lang w:val="el" w:eastAsia="el"/>
        </w:rPr>
      </w:pPr>
      <w:r>
        <w:rPr>
          <w:lang w:val="el" w:eastAsia="el"/>
        </w:rPr>
        <w:t>A. ΜΠΕΖΑΣ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