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3122.1/4245/3/24622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Αποδοχή εγγυητικής επιστολής για την εταιρεία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«EUROTANK MARITIME MANAGEMENT S.A.» που εδρεύει στα νησιά ΜΑΡΣΑΛ.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ΟΙΥΠΟΥΡΓΟΙΟΙΚΟΝΟΜΙΑΣΚΑΙΟΙΚΟΝΟΜΙΚΩΝ-ΕΜΠΟΡΙΚΗΣΝΑΥΤΙΛΙΑΣ,ΑΙΓΑΙΟΥΚΑΙΝΗΣΙΩΤΙΚΗΣΠΟΛΙΤΙΚΗΣ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Έχουμε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Τις διατάξεις του άρθρου 25 του ν. 27/1975 (ΦΕΚ 77/τ.Α’/1975) όπως αντικαταστάθηκε με το άρθρο 4 του ν. 2234/1994 (ΦΕΚ 142/τ.Α’/31.8.1994) τροποποιήθηκε με το άρθρο 25 του ν. 2515/1997 (ΦΕΚ 154/τ.Α’/1997) και την παρ. 11 του άρθρου 11 του ν. 2948/2001 (ΦΕΚ 242/τ.Α’/2001) και συμπληρώθηκε με το Άρθρο Έκτο του ν. 3550/2007 (ΦΕΚ 72/τ.Α’/26.3.2007).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Τις διατάξεις του άρθρου 34 του ν. 3427/2005 (ΦΕΚ 312/τ.Α’/2005).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Την υπ’ αριθμ. 1246.3/4/94/1.12.1994 όπως συμπληρώθηκε με την υπ’ αριθμ. 3122.3/18.5.2005 (ΦΕΚ 704/τ.Β’/25.5.2005) τις υπ’ αριθμ. 1246.3/5/94/1.12.1994, 1246.3/6/94/1.12.1994 (ΦΕΚ 919/τ.Β’/14.12.1994) και την υπ’ αριθμ. 3122.3/27.8.2007 (ΦΕΚ 1763/τ.Β’/4.9.2007) κοινές αποφάσεις των Υπουργών Εθνικής Οικονομίας, Οικονομικών και Εμπορικής Ναυτιλίας.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 Τις διατάξεις του «Κώδικα νομοθεσίας για την Κυβέρνηση και τα κυβερνητικά όργανα» που κυρώθηκε με το άρθρο 1 του π.δ. 63/2005 (ΦΕΚ 98/τ.Α’/2005).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ε. Τις διατάξεις του π.δ. 81/2002 (ΦΕΚ 57/τ.Α’/2002) «περί συγχώνευσης των Υπουργείων Εθνικής Οικονομίας και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στ. Το π.δ. 178/2000 (ΦΕΚ 165/τ.Α’/2000) «περί οργανισμού του Υπουργείου Εθνικής Οικονομίας».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ζ. Το π.δ. 205/19.9.2007 (ΦΕΚ 231/τ.Α’/19.9.2007) «Συγχώνευση Υπουργείων».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η. Την υπ’ αριθμ. 1666/ΔΙΟΕ 89/13.1.2009 κοινή απόφαση του Πρωθυπουργού και του Υπουργού Οικονομίας και Οικονομικών «Καθορισμός αρμοδιοτήτων των Υφυπουργών Οικονομίας και Οικονομικών» (ΦΕΚ 40/τ. Β’/16.1.2009).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θ. Την υπ’ αριθμ. 3122.1/4245/24622/17.10.2008 κοινή απόφαση των Υπουργών Οικονομίας και Οικονομικών και Εμπορικής Ναυτιλίας, Αιγαίου και Νησιωτικής Πολιτικής.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ι. Το υπ’ αριθμ. ΙΕ/1861/137/24622/21.1.2009 έγγραφο του Υπουργείου Οικονομίας και Οικονομικών,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Αποδεχόμεθα την εκπρόθεσμα κατά δεκαπέντε (15) ημέρες κατατεθείσα στο Υπουργείο Οικονομίας και Οικονομικών Εγγυητική Επιστολή Τραπέζης που προβλέπεται από την υπ’ αριθμ. 3122.1/4245/24622/17.10.2008 κοινή απόφαση των Υπουργών Οικονομίας και Οικονομικών και Εμπορικής Ναυτιλίας, Αιγαίου και Νησιωτικής Πολιτικής με θέμα «Εγκατάσταση στην Ελλάδα γραφείου ή υποκαταστήματος της εταιρείας EUROTANK MARITIME MANAGEMENT S.A. που εδρεύει στα νησιά ΜΑΡΣΑΛ.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παραπάνω απόφαση θεωρείται ότι δεν έχει ανακληθεί μέχρι σήμερα και εξακολουθεί να υπάρχει.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Πειραιάς, 13 Μαρτίου 2009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ΥΦΥΠ. ΟΙΚΟΝΟΜΙΑΣ ΚΑΙ ΕΜΠΟΡΙΚΗΣ ΝΑΥΤΙΛΙΑΣ,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ΚΑΙ ΟΙΚΟΝΟΜΙΚΩΝ ΑΙΓΑΙΟΥ ΚΑΙ ΝΗΣΙΩΤΙΚΗΣ ΠΟΛΙΤΙΚΗΣ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ΑΘΑΝΑΣΙΟΣΜΠΟΥΡΑΣ ΑΝΑΣΤΑΣΗΣΠΑΠΑΛΗΓΟΥΡΑΣ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