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5023206/953/Α0018</w:t>
      </w:r>
    </w:p>
    <w:p>
      <w:pPr>
        <w:pStyle w:val="PreambelText"/>
        <w:spacing w:before="240" w:after="240"/>
        <w:rPr>
          <w:lang w:val="el" w:eastAsia="el"/>
        </w:rPr>
      </w:pPr>
      <w:r>
        <w:rPr>
          <w:lang w:val="el" w:eastAsia="el"/>
        </w:rPr>
        <w:t>Παραλαβή καυσίμων από τα μέλη του Κέντρου Επιχειρησιακής Εκπαίδευσης Ναυτικής Αποτροπής του ΝΑΤΟ (ΚΕΝΑΠ), από ελεύθερα αποθέματα, με συμψηφισμό για την κίνηση των αυτοκινήτων τους.</w:t>
      </w:r>
    </w:p>
    <w:p>
      <w:pPr>
        <w:pStyle w:val="enacting"/>
        <w:spacing w:before="120" w:after="0"/>
        <w:rPr>
          <w:lang w:val="el" w:eastAsia="el"/>
        </w:rPr>
      </w:pPr>
      <w:r>
        <w:rPr>
          <w:b/>
          <w:bCs/>
          <w:lang w:val="el" w:eastAsia="el"/>
        </w:rPr>
        <w:t>ΟΥΦΥΠΟΥΡΓΟΣΟΙΚΟΝΟΜΙΑΣΚΑΙΟΙΚΟΝΟΜΙΚΩΝ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«Εθνικός Τελωνειακός Κώδικας» (ΦΕΚ265/Α’), όπως έχουν τροποποιηθεί και ισχύουν και ειδικότερα τις διατάξεις του άρθρου 1 παράγραφος 1 εδάφιο β’ του άρθρου 68 παράγραφος 1 εδάφιο γ’ και παράγραφος 3 καθώς και άρθρου 109 του νόμου αυτού.</w:t>
      </w:r>
    </w:p>
    <w:p>
      <w:pPr>
        <w:pStyle w:val="PreambelText"/>
        <w:spacing w:before="240" w:after="240"/>
        <w:rPr>
          <w:lang w:val="el" w:eastAsia="el"/>
        </w:rPr>
      </w:pPr>
      <w:r>
        <w:rPr>
          <w:lang w:val="el" w:eastAsia="el"/>
        </w:rPr>
        <w:t>2. Τις διατάξεις του ν. 2799/1954 (ΦΕΚ 63/Α) «Περί κυρώσεως της εν Λονδίνω υπογραφείσης την 19.6.1951 Συμβάσεως μεταξύ Κρατών-Μελών της Συνθήκης του Βορείου Ατλαντικού επί του νομικού καθεστώτος των δυνάμεων αυτών και του εν Παρισίοις υπογραφέντος την 28.8.1952 Πρωτοκόλλου επί του νομικού καθεστώτος των διεθνών στρατιωτικών Αρχηγείων των εγκαθιδρυομένων συμφώνως προς τη Συνθήκη του Βορείου Ατλαντικού.</w:t>
      </w:r>
    </w:p>
    <w:p>
      <w:pPr>
        <w:pStyle w:val="PreambelText"/>
        <w:spacing w:before="240" w:after="240"/>
        <w:rPr>
          <w:lang w:val="el" w:eastAsia="el"/>
        </w:rPr>
      </w:pPr>
      <w:r>
        <w:rPr>
          <w:lang w:val="el" w:eastAsia="el"/>
        </w:rPr>
        <w:t>3. Τις διατάξεις ατελείας του άρθρου 15 παράγραφος 2 του ν. 2826/2000 (ΦΕΚ 92/Α) με τον οποίο κυρώθηκε η Συμφωνία μεταξύ της Ελληνικής Δημοκρατίας και του Ανώτατου Στρατηγείου Συμμαχικών Δυνάμεων Ευρώπης (SHAPE) για τους ειδικούς όρους που διέπουν την εγκατάσταση και λειτουργία Διεθνών Στρατηγείων στην Ελληνική Επικράτεια, καθώς και της παραγράφου 7 του Παραρτήματος της συμπληρωματικής Συμφωνίας μεταξύ της Ελληνικής Δημοκρατίας και του Ανώτατου Στρατηγείου Συμμαχικών Δυνάμεων Ευρώπης.</w:t>
      </w:r>
    </w:p>
    <w:p>
      <w:pPr>
        <w:pStyle w:val="PreambelText"/>
        <w:spacing w:before="240" w:after="240"/>
        <w:rPr>
          <w:lang w:val="el" w:eastAsia="el"/>
        </w:rPr>
      </w:pPr>
      <w:r>
        <w:rPr>
          <w:lang w:val="el" w:eastAsia="el"/>
        </w:rPr>
        <w:t>4. Το ν. 3701/2008 (ΦΕΚ 203/Α) με τον οποίο κυρώθηκε το Μνημόνιο Κατανόησης μεταξύ του Υπουργείου Εθνικής Άμυνας της Ελληνικής Δημοκρατίας, του Στρατηγείου της Ανώτατης Συμμαχικής Διοίκησης Μετασχηματισμού (ΗQ SACT) και του Ανωτάτου Συμμαχικού Στρατηγείου Δυνάμεων Ευρώπης (SHAPE) επί της λειτουργικής Σχέσης του ΚΕΝΑΠ.</w:t>
      </w:r>
    </w:p>
    <w:p>
      <w:pPr>
        <w:pStyle w:val="PreambelText"/>
        <w:spacing w:before="240" w:after="240"/>
        <w:rPr>
          <w:lang w:val="el" w:eastAsia="el"/>
        </w:rPr>
      </w:pPr>
      <w:r>
        <w:rPr>
          <w:lang w:val="el" w:eastAsia="el"/>
        </w:rPr>
        <w:t>5. Το υπ’ αριθμ. Φ.330/188065/Σ562/17.3.2009 έγγραφο του Γενικού Επιτελείου Εθνικής Άμυνας και το υπ’ αριθμ. Σ.20748/28.11.2008 έγγραφο του Γενικού Επιτελείου Ναυτικού, σύμφωνα με τα οποία από 25.6.2008 το ΚΕΝΑΠ αποτελεί Διεθνή Στρατιωτικό Οργανισμό κατόπιν αποφάσεως του Βορειοατλαντικού Συμφώνου.</w:t>
      </w:r>
    </w:p>
    <w:p>
      <w:pPr>
        <w:pStyle w:val="PreambelText"/>
        <w:spacing w:before="240" w:after="240"/>
        <w:rPr>
          <w:lang w:val="el" w:eastAsia="el"/>
        </w:rPr>
      </w:pPr>
      <w:r>
        <w:rPr>
          <w:lang w:val="el" w:eastAsia="el"/>
        </w:rPr>
        <w:t>6. Την υπ’ αριθμ. 1666/ΔΙΟΕ 89/13.1.2009 (ΦΕΚ 40/Α) κοινή απόφαση του Πρωθυπουργού και Υπουργού Οικονομίας και Οικονομικών «Καθορισμός αρμοδιοτήτων των Υφυπουργών Οικονομίας και Οικονομικών»</w:t>
      </w:r>
    </w:p>
    <w:p>
      <w:pPr>
        <w:pStyle w:val="PreambelText"/>
        <w:spacing w:before="240" w:after="240"/>
        <w:rPr>
          <w:lang w:val="el" w:eastAsia="el"/>
        </w:rPr>
      </w:pPr>
      <w:r>
        <w:rPr>
          <w:lang w:val="el" w:eastAsia="el"/>
        </w:rPr>
        <w:t>7. Το γεγονός ότι η απόφαση αυτή δεν συνεπάγεται δαπάνη για τον Προϋπολογισμό του Κράτους δεδομένου ότι θεσπίζει διαδικασία εφαρμογής των διατάξεων του ν. 2826/2000,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Παραλαβή καυσίμων –Ποσότητες</w:t>
      </w:r>
    </w:p>
    <w:p>
      <w:pPr>
        <w:spacing w:before="240" w:after="240"/>
        <w:rPr>
          <w:lang w:val="el" w:eastAsia="el"/>
        </w:rPr>
      </w:pPr>
      <w:r>
        <w:rPr>
          <w:lang w:val="el" w:eastAsia="el"/>
        </w:rPr>
        <w:t>Τα καύσιμα που είναι αναγκαία για την κίνηση των αυτοκινήτων των μελών του Κέντρου Επιχειρησιακής Εκπαίδευσης Ναυτικής Αποτροπής του ΝΑΤΟ (ΚΕΝΑΠ), όπως αυτά ορίζονται στην παράγραφο του άρθρου 1.9 της Συμφωνίας μεταξύ της Ελληνικής Δημοκρατίας και του Ανώτατου Στρατηγείου Συμμαχικών Δυνάμεων Ευρώπης (SHAPE), η οποία κυρώθηκε με το ν. 2826/2000 (ΦΕΚ 92/Α), θα παραλαμβάνονται από ελεύθερα αποθέματα μέσω των πρατηρίων των εταιρειών πετρελαιοειδών με ατομικά βιβλιάρια (κουπόνια) σε τιμή χωρίς ειδικό φόρο κατανάλωσης και στη συνέχεια θα χορηγείται στις εταιρείες αυτές συμψηφιστική ατέλεια.</w:t>
      </w:r>
    </w:p>
    <w:p>
      <w:pPr>
        <w:spacing w:before="240" w:after="240"/>
        <w:rPr>
          <w:lang w:val="el" w:eastAsia="el"/>
        </w:rPr>
      </w:pPr>
      <w:r>
        <w:rPr>
          <w:lang w:val="el" w:eastAsia="el"/>
        </w:rPr>
        <w:t>Οι παραλαμβανόμενες ανά αυτοκίνητο και δικαιούχο ποσότητες δεν μπορούν να ξεπερνούν τα 400 λίτρα το μήνα.</w:t>
      </w:r>
    </w:p>
    <w:p>
      <w:pPr>
        <w:spacing w:before="240" w:after="240"/>
        <w:rPr>
          <w:lang w:val="el" w:eastAsia="el"/>
        </w:rPr>
      </w:pPr>
      <w:r>
        <w:rPr>
          <w:lang w:val="el" w:eastAsia="el"/>
        </w:rPr>
        <w:t>Σε περίπτωση που παραληφθούν λιγότερες ποσότητες οι υπόλοιπες δεν δύναται να μεταφερθούν στον επόμενο μήνα.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Χορήγηση βιβλιαρίων (Κουπονιών)</w:t>
      </w:r>
    </w:p>
    <w:p>
      <w:pPr>
        <w:spacing w:before="240" w:after="240"/>
        <w:rPr>
          <w:lang w:val="el" w:eastAsia="el"/>
        </w:rPr>
      </w:pPr>
      <w:r>
        <w:rPr>
          <w:lang w:val="el" w:eastAsia="el"/>
        </w:rPr>
        <w:t>Η χορήγηση των αναφερομένων στο προηγούμενο άρθρο ατομικών βιβλιαρίων (κουπονιών) θα πραγματοποιείται με μέριμνα της υπηρεσίας του ΚΕΝΑΠ, η οποία θα υποχρεούται να προσκομίζει ενημερωμένη ονομαστική κατάσταση των δικαιούχων ατελείας μελών του ΚΕΝΑΠ και η οποία στη συνέχεια θα τα διαβιβάζει με έγγραφο στο Τελωνείο Χανίων προς θεώρηση, βεβαιώνοντας παράλληλα και την ιδιότητα του δικαιούχου μέλους της.</w:t>
      </w:r>
    </w:p>
    <w:p>
      <w:pPr>
        <w:spacing w:before="240" w:after="240"/>
        <w:rPr>
          <w:lang w:val="el" w:eastAsia="el"/>
        </w:rPr>
      </w:pPr>
      <w:r>
        <w:rPr>
          <w:lang w:val="el" w:eastAsia="el"/>
        </w:rPr>
        <w:t>Το Τελωνείο Χανίων αφού προβεί στη σχετική θεώρηση, κάνοντας παράλληλα και σχετική εγγραφή για την ποσότητα του καυσίμου που δικαιούται να παραλαμβάνει κάθε μήνα το δικαιούχο μέλος σύμφωνα με το άρθρο 1, θα το καταχωρεί σε ειδικό πρόχειρο βιβλίο και στη συνέχεια θα το παραδίδει στον ενδιαφερόμενο.</w:t>
      </w:r>
    </w:p>
    <w:p>
      <w:pPr>
        <w:spacing w:before="240" w:after="240"/>
        <w:rPr>
          <w:lang w:val="el" w:eastAsia="el"/>
        </w:rPr>
      </w:pPr>
      <w:r>
        <w:rPr>
          <w:lang w:val="el" w:eastAsia="el"/>
        </w:rPr>
        <w:t>Κάθε βιβλιάριο αποτελείται από 25 αριθμημένα κατ’ αύξοντα αριθμό τριπλότυπα φύλλα με στοιχεία Α,Β,Γ, στα οποία θα αναγράφονται εντύπως η επωνυμία της εταιρείας πετρελαιοειδών, το είδος του καυσίμου και ο αύξων αριθμός.</w:t>
      </w:r>
    </w:p>
    <w:p>
      <w:pPr>
        <w:spacing w:before="240" w:after="240"/>
        <w:rPr>
          <w:lang w:val="el" w:eastAsia="el"/>
        </w:rPr>
      </w:pPr>
      <w:r>
        <w:rPr>
          <w:lang w:val="el" w:eastAsia="el"/>
        </w:rPr>
        <w:t>Επίσης θα υπάρχουν ενδείξεις για συμπλήρωση:</w:t>
      </w:r>
    </w:p>
    <w:p>
      <w:pPr>
        <w:pStyle w:val="StructureList1"/>
        <w:spacing w:before="120" w:after="0"/>
        <w:rPr>
          <w:lang w:val="el" w:eastAsia="el"/>
        </w:rPr>
      </w:pPr>
      <w:r>
        <w:rPr>
          <w:lang w:val="el" w:eastAsia="el"/>
        </w:rPr>
        <w:t>α)</w:t>
      </w:r>
      <w:r>
        <w:rPr>
          <w:lang w:val="en" w:eastAsia="en"/>
        </w:rPr>
        <w:tab/>
      </w:r>
      <w:r>
        <w:rPr>
          <w:lang w:val="el" w:eastAsia="el"/>
        </w:rPr>
        <w:t>του ονοματεπώνυμου του δικαιούχου</w:t>
      </w:r>
    </w:p>
    <w:p>
      <w:pPr>
        <w:pStyle w:val="StructureList1"/>
        <w:spacing w:before="120" w:after="0"/>
        <w:rPr>
          <w:lang w:val="el" w:eastAsia="el"/>
        </w:rPr>
      </w:pPr>
      <w:r>
        <w:rPr>
          <w:lang w:val="el" w:eastAsia="el"/>
        </w:rPr>
        <w:t>β)</w:t>
      </w:r>
      <w:r>
        <w:rPr>
          <w:lang w:val="en" w:eastAsia="en"/>
        </w:rPr>
        <w:tab/>
      </w:r>
      <w:r>
        <w:rPr>
          <w:lang w:val="el" w:eastAsia="el"/>
        </w:rPr>
        <w:t>του αριθμού κυκλοφορίας του αυτοκινήτου</w:t>
      </w:r>
    </w:p>
    <w:p>
      <w:pPr>
        <w:pStyle w:val="StructureList1"/>
        <w:spacing w:before="120" w:after="0"/>
        <w:rPr>
          <w:lang w:val="el" w:eastAsia="el"/>
        </w:rPr>
      </w:pPr>
      <w:r>
        <w:rPr>
          <w:lang w:val="el" w:eastAsia="el"/>
        </w:rPr>
        <w:t>γ)</w:t>
      </w:r>
      <w:r>
        <w:rPr>
          <w:lang w:val="en" w:eastAsia="en"/>
        </w:rPr>
        <w:tab/>
      </w:r>
      <w:r>
        <w:rPr>
          <w:lang w:val="el" w:eastAsia="el"/>
        </w:rPr>
        <w:t>της ημερομηνίας παραλαβής και</w:t>
      </w:r>
    </w:p>
    <w:p>
      <w:pPr>
        <w:pStyle w:val="StructureList1"/>
        <w:spacing w:before="120" w:after="0"/>
        <w:rPr>
          <w:lang w:val="el" w:eastAsia="el"/>
        </w:rPr>
      </w:pPr>
      <w:r>
        <w:rPr>
          <w:lang w:val="el" w:eastAsia="el"/>
        </w:rPr>
        <w:t>δ)</w:t>
      </w:r>
      <w:r>
        <w:rPr>
          <w:lang w:val="en" w:eastAsia="en"/>
        </w:rPr>
        <w:tab/>
      </w:r>
      <w:r>
        <w:rPr>
          <w:lang w:val="el" w:eastAsia="el"/>
        </w:rPr>
        <w:t>της υπογραφής του δικαιούχου</w:t>
      </w:r>
    </w:p>
    <w:p>
      <w:pPr>
        <w:spacing w:before="240" w:after="240"/>
        <w:rPr>
          <w:lang w:val="el" w:eastAsia="el"/>
        </w:rPr>
      </w:pPr>
      <w:r>
        <w:rPr>
          <w:lang w:val="el" w:eastAsia="el"/>
        </w:rPr>
        <w:t>Τα στοιχεία (α) και (β) θα συμπληρώνονται από το Τελωνείο Χανίων κατά τη θεώρηση του βιβλιαρίου.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Τρόπος χρήσης βιβλιαρίου και παραλαβή</w:t>
      </w:r>
    </w:p>
    <w:p>
      <w:pPr>
        <w:spacing w:before="240" w:after="240"/>
        <w:rPr>
          <w:lang w:val="el" w:eastAsia="el"/>
        </w:rPr>
      </w:pPr>
      <w:r>
        <w:rPr>
          <w:lang w:val="el" w:eastAsia="el"/>
        </w:rPr>
        <w:t>Η παραλαβή των καυσίμων από τα κατά τόπους πρατήρια θα πραγματοποιείται βάσει των ατομικών βιβλιαρίων (κουπονιών), τα οποία θα συμπληρώνονται και θα υπογράφονται από το δικαιούχο μέλος και θα σφραγίζονται από τον πρατηριούχο, βεβαιούμενης με τον τρόπο αυτό της παράδοσης και παραλαβής της αναγραφόμενης ποσότητας.</w:t>
      </w:r>
    </w:p>
    <w:p>
      <w:pPr>
        <w:spacing w:before="240" w:after="240"/>
        <w:rPr>
          <w:lang w:val="el" w:eastAsia="el"/>
        </w:rPr>
      </w:pPr>
      <w:r>
        <w:rPr>
          <w:lang w:val="el" w:eastAsia="el"/>
        </w:rPr>
        <w:t>Στη συνέχεια το υπό στοιχείο Α’ φύλλο θα αποκόπτεται και θα παραδίδεται στον πρατηριούχο για την παράδοσή του στην εταιρεία πετρελαιοειδών, το υπό στοιχείο Β’ φύλλο με αντίγραφο του τιμολογίου θα παραδίδεται στην υπηρεσία του ΚΕΝΑΠ και το υπό στοιχείο Γ’ θα παραμένει ως στέλεχος.</w:t>
      </w:r>
    </w:p>
    <w:p>
      <w:pPr>
        <w:spacing w:before="240" w:after="240"/>
        <w:rPr>
          <w:lang w:val="el" w:eastAsia="el"/>
        </w:rPr>
      </w:pPr>
      <w:r>
        <w:rPr>
          <w:lang w:val="el" w:eastAsia="el"/>
        </w:rPr>
        <w:t>Μετά την πλήρη χρησιμοποίηση του βιβλιαρίου ή την αναχώρηση του δικαιούχου μέλους από τη χώρα μας, το βιβλιάριο αυτό θα παραδίδεται με μέριμνα της υπηρεσίας του ΚΕΝΑΠ στο Τελωνείο Χανίων.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Χορήγηση συμψηφιστικής ατέλειας</w:t>
      </w:r>
    </w:p>
    <w:p>
      <w:pPr>
        <w:spacing w:before="240" w:after="240"/>
        <w:rPr>
          <w:lang w:val="el" w:eastAsia="el"/>
        </w:rPr>
      </w:pPr>
      <w:r>
        <w:rPr>
          <w:lang w:val="el" w:eastAsia="el"/>
        </w:rPr>
        <w:t>Κάθε μήνα η εταιρεία πετρελαιοειδών θα συντάσσει σχετική κατάσταση με συνημμένα τα υπό στοιχείο Α’ φύλλα του βιβλιαρίου, την οποία θα αποστέλλει στο Τελωνείο Χανίων με τα αντίγραφα του τιμολογίου και με έγγραφο της υπηρεσίας του ΚΕΝΑΠ, με το οποίο θα ζητείται η χορήγηση συμψηφιστικής ατέλειας.</w:t>
      </w:r>
    </w:p>
    <w:p>
      <w:pPr>
        <w:spacing w:before="240" w:after="240"/>
        <w:rPr>
          <w:lang w:val="el" w:eastAsia="el"/>
        </w:rPr>
      </w:pPr>
      <w:r>
        <w:rPr>
          <w:lang w:val="el" w:eastAsia="el"/>
        </w:rPr>
        <w:t>Με το έγγραφο αυτό θα βεβαιώνεται ότι οι παραληφθείσες ποσότητες καυσίμων τιμολογήθηκαν σε τιμή χωρίς τον ειδικό φόρο κατανάλωσης και ότι παρελήφθησαν από δικαιούχα ατελείας αλλοδαπά μέλη της.</w:t>
      </w:r>
    </w:p>
    <w:p>
      <w:pPr>
        <w:spacing w:before="240" w:after="240"/>
        <w:rPr>
          <w:lang w:val="el" w:eastAsia="el"/>
        </w:rPr>
      </w:pPr>
      <w:r>
        <w:rPr>
          <w:lang w:val="el" w:eastAsia="el"/>
        </w:rPr>
        <w:t>Το Τελωνείο Χανίων, αφού διενεργήσει σχετικό έλεγχο για τις ποσότητες που έχουν παραληφθεί από κάθε μέλος καθώς και για τα πρόσωπα που έχουν κάνει χρήση του δικαιώματος, σε συνδυασμό με τις θεωρήσεις που έχει κάνει στα δελτία παραλαβής και τις καταχωρήσεις στο πρόχειρο βιβλίο, θα διαβιβάζει τα δικαιολογητικά στο Δ’ Τελωνείο Επίβλεψης Συγκροτημάτων για την έκδοση απόφασης συμψηφιστικής ατέλειας επ’ ονόματι της εταιρείας πετρελαιοειδών για τις κάθε μήνα χορηγηθείσες ποσότητες καυσίμων.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Αθήνα, 16 Ιουνίου 2009</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ΑΝΤΩΝΙΟΣΜΠΕΖΑΣ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