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ΕΠΙΤΡΟΠΗ</w:t>
      </w:r>
    </w:p>
    <w:p>
      <w:pPr>
        <w:pStyle w:val="enacting"/>
        <w:spacing w:before="120" w:after="0"/>
        <w:rPr>
          <w:lang w:val="el" w:eastAsia="el"/>
        </w:rPr>
      </w:pPr>
      <w:r>
        <w:rPr>
          <w:b/>
          <w:bCs/>
          <w:lang w:val="el" w:eastAsia="el"/>
        </w:rPr>
        <w:t>ΑΠΟΦΑΣΗ ΤΗΣ ΕΠΙΤΡΟΠΗΣ</w:t>
      </w:r>
      <w:r>
        <w:rPr>
          <w:lang w:val="el" w:eastAsia="el"/>
        </w:rPr>
        <w:br/>
      </w:r>
      <w:r>
        <w:rPr>
          <w:b/>
          <w:bCs/>
          <w:lang w:val="el" w:eastAsia="el"/>
        </w:rPr>
        <w:t>της 28ης Μαΐου 2009</w:t>
      </w:r>
      <w:r>
        <w:rPr>
          <w:lang w:val="el" w:eastAsia="el"/>
        </w:rPr>
        <w:br/>
      </w:r>
      <w:r>
        <w:rPr>
          <w:b/>
          <w:bCs/>
          <w:lang w:val="el" w:eastAsia="el"/>
        </w:rPr>
        <w:t>για τροποποίηση της απόφασης 97/245/ΕΚ, Ευρατόμ για τη θέσπιση των όρων κοινοποίησης από τακράτη μέλη ορισμένων πληροφοριών που απευθύνονται στην Επιτροπή στο πλαίσιο του συστήματος τωνιδίων πόρων των Κοινοτήτων</w:t>
      </w:r>
      <w:r>
        <w:rPr>
          <w:lang w:val="el" w:eastAsia="el"/>
        </w:rPr>
        <w:br/>
      </w:r>
      <w:r>
        <w:rPr>
          <w:i/>
          <w:iCs/>
          <w:lang w:val="el" w:eastAsia="el"/>
        </w:rPr>
        <w:t>[κοί^νοποιηθείσα υπό τον αριθμό Ε(2009) 4072]</w:t>
      </w:r>
      <w:r>
        <w:rPr>
          <w:lang w:val="el" w:eastAsia="el"/>
        </w:rPr>
        <w:br/>
      </w:r>
      <w:r>
        <w:rPr>
          <w:lang w:val="el" w:eastAsia="el"/>
        </w:rPr>
        <w:t>(2009/504/ΕΚ, Ευρατόμ)</w:t>
      </w:r>
    </w:p>
    <w:p>
      <w:pPr>
        <w:pStyle w:val="PreambelText"/>
        <w:spacing w:before="240" w:after="240"/>
        <w:rPr>
          <w:lang w:val="el" w:eastAsia="el"/>
        </w:rPr>
      </w:pPr>
      <w:r>
        <w:rPr>
          <w:lang w:val="el" w:eastAsia="el"/>
        </w:rPr>
        <w:t>Η ΕΠΙΤΡΟΠΗ ΤΩΝ ΕΥΡΩΠΑΪΚΩΝ ΚΟΙΝΟΤΗΤΩΝ,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τη συνθήκη για την ίδρυση της Ευρωπαϊκής Κοινότητας,</w:t>
      </w:r>
    </w:p>
    <w:p>
      <w:pPr>
        <w:pStyle w:val="PreambelText"/>
        <w:spacing w:before="240" w:after="240"/>
        <w:rPr>
          <w:lang w:val="el" w:eastAsia="el"/>
        </w:rPr>
      </w:pPr>
      <w:r>
        <w:rPr>
          <w:lang w:val="el" w:eastAsia="el"/>
        </w:rPr>
        <w:t>τη συνθήκη για την ίδρυση της Ευρωπαϊκής Κοινότητας Ατομικής Ενέργειας,</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Με την απόφαση 97/245/ΕΚ, Ευρατόμ της Επιτροπής (</w:t>
      </w:r>
      <w:r>
        <w:rPr>
          <w:sz w:val="30"/>
          <w:szCs w:val="30"/>
          <w:vertAlign w:val="superscript"/>
          <w:lang w:val="el" w:eastAsia="el"/>
        </w:rPr>
        <w:t>3</w:t>
      </w:r>
      <w:r>
        <w:rPr>
          <w:lang w:val="el" w:eastAsia="el"/>
        </w:rPr>
        <w:t>) καθορίζονται υποδείγματα καταστάσεων της λογιστικής των ιδίων πόρων των κρατών μελών τα οποία πρέπει να κοινοποιούνται στην Επιτροπή. συμβάλει στη χρηματοδότηση των δαπανών και μία εισφορά επί του πλεονάσματος για να αποφευχθεί η συσσώρευση πλεονασματικών ποσοτήτων. Επίσης, υπό ορισμένους όρους, προβλέπονται κατ’ αποκοπή εισφορές επί των συμπληρωματικών ποσοστώσεων ζάχαρης και των συμπληρωματικών ποσοστώσεων ισογλυκόζης. Δεδομένου ότι οι εισφορές αυτές αποτελούν ίδιους πόρους, θα πρέπει να αναπροσαρμοστούν ανάλογα τα υποδείγματα που περιλαμβάνονται στα παραρτήματα I και III της απόφασης 97/245/ΕΚ, Ευρα- τόμ.</w:t>
      </w:r>
    </w:p>
    <w:p>
      <w:pPr>
        <w:pStyle w:val="PreambelText"/>
        <w:spacing w:before="240" w:after="240"/>
        <w:rPr>
          <w:lang w:val="el" w:eastAsia="el"/>
        </w:rPr>
      </w:pPr>
      <w:r>
        <w:rPr>
          <w:lang w:val="el" w:eastAsia="el"/>
        </w:rPr>
        <w:t>Θα πρέπει επίσης να αξιοποιηθεί η πείρα που αποκτήθηκε στο πλαίσιο της κοινοποίησης από τα κράτη μέλη των λογιστικών καταστάσεων που προβλέπονται στο άρθρο 6 παράγραφος 3 στοιχεία α) και β) του κανονισμού (ΕΚ, Ευρατόμ) αριθ. 1150/2000 και να βελτιωθεί η παρουσίαση των εντύπων που έχουν καταρτιστεί σύμφωνα με τα υποδείγματα που περιλαμβάνονται στα παραρτήματα I και III της απόφασης 97/245/ΕΚ, Ευρατόμ.</w:t>
      </w:r>
    </w:p>
    <w:p>
      <w:pPr>
        <w:pStyle w:val="PreambelText"/>
        <w:spacing w:before="240" w:after="240"/>
        <w:rPr>
          <w:lang w:val="el" w:eastAsia="el"/>
        </w:rPr>
      </w:pPr>
      <w:r>
        <w:rPr>
          <w:lang w:val="el" w:eastAsia="el"/>
        </w:rPr>
        <w:t>Η απόφαση 97/245/ΕΚ, Ευρατόμ, καθορίζει τους λεπτομερείς όρους διαβίβασης πληροφοριών και καθιερώνει ένα υπόδειγμα για την κοινοποίηση, στο πλαίσιο της ετήσιας έκθεσης, των περιπτώσεων μη ανάκτησης, που προβλέπονται στο άρθρο 17 παράγραφος 2 του κανονισμού (ΕΚ, Ευρατόμ) αριθ. 1150/2000.</w:t>
      </w:r>
    </w:p>
    <w:p>
      <w:pPr>
        <w:pStyle w:val="PreambelText"/>
        <w:spacing w:before="240" w:after="240"/>
        <w:rPr>
          <w:lang w:val="el" w:eastAsia="el"/>
        </w:rPr>
      </w:pPr>
      <w:r>
        <w:rPr>
          <w:lang w:val="el" w:eastAsia="el"/>
        </w:rPr>
        <w:t>(1) ΕΕ L 163 της 23.6.2007, σ. 17. (</w:t>
      </w:r>
      <w:r>
        <w:rPr>
          <w:sz w:val="30"/>
          <w:szCs w:val="30"/>
          <w:vertAlign w:val="superscript"/>
          <w:lang w:val="el" w:eastAsia="el"/>
        </w:rPr>
        <w:t>2</w:t>
      </w:r>
      <w:r>
        <w:rPr>
          <w:lang w:val="el" w:eastAsia="el"/>
        </w:rPr>
        <w:t>) ΕΕ L 130 της 31.5.2000, σ. 1.</w:t>
      </w:r>
    </w:p>
    <w:p>
      <w:pPr>
        <w:pStyle w:val="PreambelText"/>
        <w:spacing w:before="240" w:after="240"/>
        <w:rPr>
          <w:lang w:val="el" w:eastAsia="el"/>
        </w:rPr>
      </w:pPr>
      <w:r>
        <w:rPr>
          <w:lang w:val="el" w:eastAsia="el"/>
        </w:rPr>
        <w:t>(3) ΕΕ L 97 της 12.4.1997, σ. 12.</w:t>
      </w:r>
    </w:p>
    <w:p>
      <w:pPr>
        <w:pStyle w:val="PreambelText"/>
        <w:spacing w:before="240" w:after="240"/>
        <w:rPr>
          <w:lang w:val="el" w:eastAsia="el"/>
        </w:rPr>
      </w:pPr>
      <w:r>
        <w:rPr>
          <w:lang w:val="el" w:eastAsia="el"/>
        </w:rPr>
        <w:t>(4) ΕΕ L 58 της 28.2.2006, σ. 1.</w:t>
      </w:r>
    </w:p>
    <w:p>
      <w:pPr>
        <w:pStyle w:val="PreambelText"/>
        <w:spacing w:before="240" w:after="240"/>
        <w:rPr>
          <w:lang w:val="el" w:eastAsia="el"/>
        </w:rPr>
      </w:pPr>
      <w:r>
        <w:rPr>
          <w:lang w:val="el" w:eastAsia="el"/>
        </w:rPr>
        <w:t>Λαμβανομένης υπόψη της κτηθείσας πείρας όσον αφορά τη διαβίβαση των σχετικών πληροφοριών, είναι αναγκαία η λήψη μέτρων, ώστε να εξασφαλίζεται ότι όλα τα απαιτού- μενα στοιχεία για την πλήρη εξέταση των επισημαινόμενων από τα κράτη μέλη περιπτώσεων μη ανάκτησης κοινοποιούνται στην Επιτροπή.</w:t>
      </w:r>
    </w:p>
    <w:p>
      <w:pPr>
        <w:pStyle w:val="PreambelText"/>
        <w:spacing w:before="240" w:after="240"/>
        <w:rPr>
          <w:lang w:val="el" w:eastAsia="el"/>
        </w:rPr>
      </w:pPr>
      <w:r>
        <w:rPr>
          <w:lang w:val="el" w:eastAsia="el"/>
        </w:rPr>
        <w:t>Τα συστήματα που προβλέπονται για τη διαβίβαση των εκθέσεων και την αποτελεσματική διαχείριση των πληροφοριών, πρέπει να προσαρμοστούν στην αύξηση του αριθμού των περιπτώσεων μη ανάκτησης, με την καθιέρωση ενός νέου ηλεκτρονικού συστήματος διαχείρισης και ενημέρωσης που τα κράτη μέλη πρέπει να χρησιμοποιούν για την ηλεκτρονική διαβίβαση των περιπτώσεων στις οποίες τα ποσά βεβαιώθηκαν ή θεωρήθηκαν μη ανακτήσιμα.</w:t>
      </w:r>
    </w:p>
    <w:p>
      <w:pPr>
        <w:pStyle w:val="PreambelText"/>
        <w:spacing w:before="240" w:after="240"/>
        <w:rPr>
          <w:lang w:val="el" w:eastAsia="el"/>
        </w:rPr>
      </w:pPr>
      <w:r>
        <w:rPr>
          <w:lang w:val="el" w:eastAsia="el"/>
        </w:rPr>
        <w:t>(8) Με τον κανονισμό (ΕΚ, Ευρατόμ) αριθ. 2028/2004 (</w:t>
      </w:r>
      <w:r>
        <w:rPr>
          <w:sz w:val="30"/>
          <w:szCs w:val="30"/>
          <w:vertAlign w:val="superscript"/>
          <w:lang w:val="el" w:eastAsia="el"/>
        </w:rPr>
        <w:t>5</w:t>
      </w:r>
      <w:r>
        <w:rPr>
          <w:lang w:val="el" w:eastAsia="el"/>
        </w:rPr>
        <w:t>) εισάγεται στον κανονισμό (ΕΚ, Ευρατόμ) αριθ. 1150/2000 σαφής διάκριση μεταξύ της έκθεσης που αφορά τις περιπτώσεις στις οποίες οι βεβαιωθέντες δασμοί έχουν δηλωθεί ή χαρακτηριστεί ως μη ανακτήσιμοι, όπως αναφέρεται στο άρθρο 17 παράγραφος 3 τρίτο εδάφιο του κανονισμού (ΕΚ, Ευρατόμ) αριθ. 1150/2000 και των ετήσιων εκθέσεων που αναφέρονται στο άρθρο 17 παράγραφος 5 του κανονισμού (ΕΚ, Ευρατόμ) αριθ. 1150/2000. Θα πρέπει, ως εκ τούτου, να αντικατασταθεί το υπόδειγμα που πρέπει να χρησιμοποιείται για τις εν λόγω ετήσιες εκθέσεις και να καθιερωθεί ξεχωριστό υπόδειγμα για την έκθεση αυτή.</w:t>
      </w:r>
    </w:p>
    <w:p>
      <w:pPr>
        <w:pStyle w:val="PreambelText"/>
        <w:spacing w:before="240" w:after="240"/>
        <w:rPr>
          <w:lang w:val="el" w:eastAsia="el"/>
        </w:rPr>
      </w:pPr>
      <w:r>
        <w:rPr>
          <w:lang w:val="el" w:eastAsia="el"/>
        </w:rPr>
        <w:t>(9) Θα πρέπει επίσης να προβλεφθούν κατάλληλες προθεσμίες εφαρμογής για τη διαβίβαση των τροποποιημένων καταστάσεων.</w:t>
      </w:r>
    </w:p>
    <w:p>
      <w:pPr>
        <w:pStyle w:val="PreambelText"/>
        <w:spacing w:before="240" w:after="240"/>
        <w:rPr>
          <w:lang w:val="el" w:eastAsia="el"/>
        </w:rPr>
      </w:pPr>
      <w:r>
        <w:rPr>
          <w:lang w:val="el" w:eastAsia="el"/>
        </w:rPr>
        <w:t>(10) Κατά συνέπεια, η απόφαση 97/245/ΕΚ, Ευρατόμ πρέπει να τροποποιηθεί ανάλογα,</w:t>
      </w:r>
    </w:p>
    <w:p>
      <w:pPr>
        <w:pStyle w:val="PreambelText"/>
        <w:spacing w:before="240" w:after="240"/>
        <w:rPr>
          <w:lang w:val="el" w:eastAsia="el"/>
        </w:rPr>
      </w:pPr>
      <w:r>
        <w:rPr>
          <w:lang w:val="el" w:eastAsia="el"/>
        </w:rPr>
        <w:t>ΕΞΕΔΩΣΕ ΤΗΝ ΠΑΡΟΥΣΑ ΑΠΟΦΑΣΗ:</w:t>
      </w:r>
    </w:p>
    <w:p>
      <w:pPr>
        <w:pStyle w:val="Heading6"/>
        <w:spacing w:before="240" w:after="240"/>
        <w:rPr>
          <w:lang w:val="el" w:eastAsia="el"/>
        </w:rPr>
      </w:pPr>
      <w:r>
        <w:rPr>
          <w:rStyle w:val="article-num"/>
          <w:i/>
          <w:iCs/>
          <w:lang w:val="el" w:eastAsia="el"/>
        </w:rPr>
        <w:t>Άρθρο 1</w:t>
      </w:r>
    </w:p>
    <w:p>
      <w:pPr>
        <w:spacing w:before="240" w:after="240"/>
        <w:rPr>
          <w:lang w:val="el" w:eastAsia="el"/>
        </w:rPr>
      </w:pPr>
      <w:r>
        <w:rPr>
          <w:lang w:val="el" w:eastAsia="el"/>
        </w:rPr>
        <w:t>Η απόφαση 97/245/ΕΚ, Ευρατόμ τροποποιείται ως ακολούθως:</w:t>
      </w:r>
    </w:p>
    <w:p>
      <w:pPr>
        <w:spacing w:before="240" w:after="240"/>
        <w:rPr>
          <w:lang w:val="el" w:eastAsia="el"/>
        </w:rPr>
      </w:pPr>
      <w:r>
        <w:rPr>
          <w:lang w:val="el" w:eastAsia="el"/>
        </w:rPr>
        <w:t>1) Στο άρθρο 1 παράγραφος 1, η φράση «στο άρθρο 6 παράγραφος 3 στοιχεία α) και β) του κανονισμού (ΕΟΚ, Ευρατόμ) αριθ. 1552/89» αντικαθίσταται από τη φράση «στο άρθρο 6 παράγραφος 4 πρώτο εδάφιο στοιχεία α) και β) του κανονισμού (ΕΚ, Ευρατόμ) αριθ. 1150/2000 του Συμβουλίου (*).</w:t>
      </w:r>
    </w:p>
    <w:p>
      <w:pPr>
        <w:spacing w:before="240" w:after="240"/>
        <w:rPr>
          <w:lang w:val="el" w:eastAsia="el"/>
        </w:rPr>
      </w:pPr>
      <w:r>
        <w:rPr>
          <w:lang w:val="el" w:eastAsia="el"/>
        </w:rPr>
        <w:t>(*) ΕΕ L 130 της 31.5.2000, σ. 1.»</w:t>
      </w:r>
    </w:p>
    <w:p>
      <w:pPr>
        <w:spacing w:before="240" w:after="240"/>
        <w:rPr>
          <w:lang w:val="el" w:eastAsia="el"/>
        </w:rPr>
      </w:pPr>
      <w:r>
        <w:rPr>
          <w:lang w:val="el" w:eastAsia="el"/>
        </w:rPr>
        <w:t>2) Στο άρθρο 2 παράγραφος 1, η φράση «στο άρθρο 6 παράγραφος 4 του κανονισμού (ΕΟΚ, Ευρατόμ) αριθ. 1552/89» αντικαθίσταται από τη φράση «στο άρθρο 6 παράγραφος 5 του κανονισμού (ΕΚ, Ευρατόμ) αριθ. 1150/2000».</w:t>
      </w:r>
    </w:p>
    <w:p>
      <w:pPr>
        <w:spacing w:before="240" w:after="240"/>
        <w:rPr>
          <w:lang w:val="el" w:eastAsia="el"/>
        </w:rPr>
      </w:pPr>
      <w:r>
        <w:rPr>
          <w:lang w:val="el" w:eastAsia="el"/>
        </w:rPr>
        <w:t>3) Το άρθρο 3 αντικαθίσταται από το ακόλουθο κείμενο:</w:t>
      </w:r>
    </w:p>
    <w:p>
      <w:pPr>
        <w:spacing w:before="240" w:after="240"/>
        <w:rPr>
          <w:lang w:val="el" w:eastAsia="el"/>
        </w:rPr>
      </w:pPr>
      <w:r>
        <w:rPr>
          <w:i/>
          <w:iCs/>
          <w:lang w:val="el" w:eastAsia="el"/>
        </w:rPr>
        <w:t>«Άρθρο 3</w:t>
      </w:r>
    </w:p>
    <w:p>
      <w:pPr>
        <w:spacing w:before="240" w:after="240"/>
        <w:rPr>
          <w:lang w:val="el" w:eastAsia="el"/>
        </w:rPr>
      </w:pPr>
      <w:r>
        <w:rPr>
          <w:lang w:val="el" w:eastAsia="el"/>
        </w:rPr>
        <w:t>1. Τα κράτη μέλη χρησιμοποιούν το υπόδειγμα που καθορίζεται στο παράρτημα VI για την ετήσια έκθεση που προβλέπεται στο άρθρο 17 παράγραφος 5 του κανονισμού (ΕΚ, Ευρατόμ) αριθ. 1150/2000.</w:t>
      </w:r>
    </w:p>
    <w:p>
      <w:pPr>
        <w:spacing w:before="240" w:after="240"/>
        <w:rPr>
          <w:lang w:val="el" w:eastAsia="el"/>
        </w:rPr>
      </w:pPr>
      <w:r>
        <w:rPr>
          <w:lang w:val="el" w:eastAsia="el"/>
        </w:rPr>
        <w:t>2. Τα κράτη μέλη διαβιβάζουν ηλεκτρονικά τις εκθέσεις που προβλέπονται στο άρθρο 17 παράγραφος 3 τρίτο εδάφιο του κανονισμού (ΕΚ, Ευρατόμ) αριθ. 1150/2000 χρησιμοποιώντας το ηλεκτρονικό σύστημα διαχείρισης και ενημέρωσης.</w:t>
      </w:r>
    </w:p>
    <w:p>
      <w:pPr>
        <w:spacing w:before="240" w:after="240"/>
        <w:rPr>
          <w:lang w:val="el" w:eastAsia="el"/>
        </w:rPr>
      </w:pPr>
      <w:r>
        <w:rPr>
          <w:lang w:val="el" w:eastAsia="el"/>
        </w:rPr>
        <w:t>3. Στο παράρτημα VII καθορίζεται το υπόδειγμα των εκθέσεων που προβλέπονται στο άρθρο 17 παράγραφος 3 τρίτο εδάφιο του κανονισμού (ΕΚ, Ευρατόμ) αριθ. 1150/2000.»</w:t>
      </w:r>
    </w:p>
    <w:p>
      <w:pPr>
        <w:spacing w:before="240" w:after="240"/>
        <w:rPr>
          <w:lang w:val="el" w:eastAsia="el"/>
        </w:rPr>
      </w:pPr>
      <w:r>
        <w:rPr>
          <w:lang w:val="el" w:eastAsia="el"/>
        </w:rPr>
        <w:t>4) Το παράρτημα I αντικαθίσταται από το κείμενο που περιλαμβάνεται στο παράρτημα I της παρούσας απόφασης.</w:t>
      </w:r>
    </w:p>
    <w:p>
      <w:pPr>
        <w:spacing w:before="240" w:after="240"/>
        <w:rPr>
          <w:lang w:val="el" w:eastAsia="el"/>
        </w:rPr>
      </w:pPr>
      <w:r>
        <w:rPr>
          <w:lang w:val="el" w:eastAsia="el"/>
        </w:rPr>
        <w:t>5) Το παράρτημα III αντικαθίσταται από το κείμενο που περιλαμβάνεται στο παράτημα ΙΙ της παρούσας απόφασης.</w:t>
      </w:r>
    </w:p>
    <w:p>
      <w:pPr>
        <w:spacing w:before="240" w:after="240"/>
        <w:rPr>
          <w:lang w:val="el" w:eastAsia="el"/>
        </w:rPr>
      </w:pPr>
      <w:r>
        <w:rPr>
          <w:lang w:val="el" w:eastAsia="el"/>
        </w:rPr>
        <w:t>6) Το παράρτημα VI αντικαθίσταται από το κείμενο που περιλαμβάνεται στο παράτημα III της παρούσας απόφασης.</w:t>
      </w:r>
    </w:p>
    <w:p>
      <w:pPr>
        <w:spacing w:before="240" w:after="240"/>
        <w:rPr>
          <w:lang w:val="el" w:eastAsia="el"/>
        </w:rPr>
      </w:pPr>
      <w:r>
        <w:rPr>
          <w:lang w:val="el" w:eastAsia="el"/>
        </w:rPr>
        <w:t>7) Προστίθεται το παράρτημα VII που περιλαμβάνεται στο παρά- τημα IV της παρούσας απόφασης.</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Οι καταστάσεις που καταρτίζονται σύμφωνα με τα υποδείγματα που περιλαμβάνονται στα παραρτήματα I και III της απόφασης 97/245/ΕΚ, Ευρατόμ όπως τροποποιείται από την παρούσα απόφαση, διαβιβάζονται για πρώτη φορά για τον μήνα Ιούνιο 2009 όσον αφορά τη μηνιαία κατάσταση και το δεύτερο τρίμηνο του 2009 όσον αφορά την τριμηνιαία κατάσταση, αντιστοίχως.</w:t>
      </w:r>
    </w:p>
    <w:p>
      <w:pPr>
        <w:pStyle w:val="Heading6"/>
        <w:spacing w:before="240" w:after="240"/>
        <w:rPr>
          <w:lang w:val="el" w:eastAsia="el"/>
        </w:rPr>
      </w:pPr>
      <w:r>
        <w:rPr>
          <w:rStyle w:val="article-num"/>
          <w:i/>
          <w:iCs/>
          <w:lang w:val="el" w:eastAsia="el"/>
        </w:rPr>
        <w:t>Άρθρο 3</w:t>
      </w:r>
    </w:p>
    <w:p>
      <w:pPr>
        <w:spacing w:before="240" w:after="240"/>
        <w:rPr>
          <w:lang w:val="el" w:eastAsia="el"/>
        </w:rPr>
      </w:pPr>
      <w:r>
        <w:rPr>
          <w:lang w:val="el" w:eastAsia="el"/>
        </w:rPr>
        <w:t>Το ηλεκτρονικό σύστημα διαχείρισης και ενημέρωσης και το υπόδειγμα που προβλέπεται στο άρθρο 3 παράγραφοι 2 και 3 αντίστοιχα της απόφασης 97/245/ΕΚ, Ευρατόμ, όπως τροποποιείται από την παρούσα απόφαση, χρησιμοποιούνται από την ημερομηνία που κοινοποιεί η Επιτροπή στα κράτη μέλη.</w:t>
      </w:r>
    </w:p>
    <w:p>
      <w:pPr>
        <w:spacing w:before="240" w:after="240"/>
        <w:rPr>
          <w:lang w:val="el" w:eastAsia="el"/>
        </w:rPr>
      </w:pPr>
      <w:r>
        <w:rPr>
          <w:lang w:val="el" w:eastAsia="el"/>
        </w:rPr>
        <w:t>Εν αναμονή της κοινοποίησης αυτής, τα κράτη μέλη χρησιμοποιούν το υπόδειγμα που καθορίζεται στο παράρτημα VI της απόφασης 97/245/ΕΚ, Ευρατόμ, όπως τροποποιήθηκε από την απόφαση 2002/235/ΕΚ, Ευρατόμ (</w:t>
      </w:r>
      <w:r>
        <w:rPr>
          <w:sz w:val="30"/>
          <w:szCs w:val="30"/>
          <w:vertAlign w:val="superscript"/>
          <w:lang w:val="el" w:eastAsia="el"/>
        </w:rPr>
        <w:t>6</w:t>
      </w:r>
      <w:r>
        <w:rPr>
          <w:lang w:val="el" w:eastAsia="el"/>
        </w:rPr>
        <w:t>).</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lang w:val="el" w:eastAsia="el"/>
        </w:rPr>
        <w:t>Η παρούσα απόφαση απευθύνεται στα κράτη μέλη.</w:t>
      </w:r>
    </w:p>
    <w:p>
      <w:pPr>
        <w:spacing w:before="240" w:after="240"/>
        <w:rPr>
          <w:lang w:val="el" w:eastAsia="el"/>
        </w:rPr>
      </w:pPr>
      <w:r>
        <w:rPr>
          <w:lang w:val="el" w:eastAsia="el"/>
        </w:rPr>
        <w:t>Βρυξέλλες, 28 Μαΐου 2009.</w:t>
      </w:r>
    </w:p>
    <w:p>
      <w:pPr>
        <w:spacing w:before="240" w:after="240"/>
        <w:rPr>
          <w:lang w:val="el" w:eastAsia="el"/>
        </w:rPr>
      </w:pPr>
      <w:r>
        <w:rPr>
          <w:i/>
          <w:iCs/>
          <w:lang w:val="el" w:eastAsia="el"/>
        </w:rPr>
        <w:t>Για την Επιτροπή</w:t>
      </w:r>
    </w:p>
    <w:p>
      <w:pPr>
        <w:spacing w:before="240" w:after="240"/>
        <w:rPr>
          <w:lang w:val="el" w:eastAsia="el"/>
        </w:rPr>
      </w:pPr>
      <w:r>
        <w:rPr>
          <w:lang w:val="el" w:eastAsia="el"/>
        </w:rPr>
        <w:t>Siim KALLAS</w:t>
      </w:r>
      <w:r>
        <w:rPr>
          <w:i/>
          <w:iCs/>
          <w:lang w:val="el" w:eastAsia="el"/>
        </w:rPr>
        <w:t>Αντιπρόεδρος</w:t>
      </w:r>
    </w:p>
    <w:p>
      <w:pPr>
        <w:spacing w:before="240" w:after="240"/>
        <w:rPr>
          <w:lang w:val="el" w:eastAsia="el"/>
        </w:rPr>
      </w:pPr>
      <w:r>
        <w:rPr>
          <w:i/>
          <w:iCs/>
          <w:lang w:val="el" w:eastAsia="el"/>
        </w:rPr>
        <w:t>ΠΑΡΑΡΤΗΜΑ I</w:t>
      </w:r>
    </w:p>
    <w:p>
      <w:pPr>
        <w:spacing w:before="240" w:after="240"/>
        <w:rPr>
          <w:lang w:val="el" w:eastAsia="el"/>
        </w:rPr>
      </w:pPr>
      <w:r>
        <w:rPr>
          <w:i/>
          <w:iCs/>
          <w:lang w:val="el" w:eastAsia="el"/>
        </w:rPr>
        <w:t>«ΠΑΡΑΡΤΗΜΑ I</w:t>
      </w:r>
    </w:p>
    <w:p>
      <w:pPr>
        <w:spacing w:before="240" w:after="240"/>
        <w:rPr>
          <w:lang w:val="el" w:eastAsia="el"/>
        </w:rPr>
      </w:pPr>
      <w:r>
        <w:rPr>
          <w:b/>
          <w:bCs/>
          <w:lang w:val="el" w:eastAsia="el"/>
        </w:rPr>
        <w:t>ΛΟΓΙΣΤΙΚΗ “Α” ΤΩΝ ΙΔΙΩΝ ΠΟΡΩΝ ΤΩΝ ΕΥΡΩΠΑΪΚΩΝ ΚΟΙΝΟΤΗΤΩΝ</w:t>
      </w:r>
    </w:p>
    <w:p>
      <w:pPr>
        <w:spacing w:before="240" w:after="240"/>
        <w:rPr>
          <w:lang w:val="el" w:eastAsia="el"/>
        </w:rPr>
      </w:pPr>
      <w:r>
        <w:rPr>
          <w:b/>
          <w:bCs/>
          <w:lang w:val="el" w:eastAsia="el"/>
        </w:rPr>
        <w:t xml:space="preserve">Κατάσταση βεβαιωθέντων δασμών </w:t>
      </w:r>
      <w:r>
        <w:rPr>
          <w:lang w:val="el" w:eastAsia="el"/>
        </w:rPr>
        <w:t>(*)</w:t>
      </w:r>
    </w:p>
    <w:p>
      <w:pPr>
        <w:spacing w:before="240" w:after="240"/>
        <w:rPr>
          <w:lang w:val="el" w:eastAsia="el"/>
        </w:rPr>
      </w:pPr>
      <w:r>
        <w:rPr>
          <w:lang w:val="el" w:eastAsia="el"/>
        </w:rPr>
        <w:t>Κράτος μέλος:</w:t>
      </w:r>
    </w:p>
    <w:p>
      <w:pPr>
        <w:spacing w:before="240" w:after="240"/>
        <w:rPr>
          <w:lang w:val="el" w:eastAsia="el"/>
        </w:rPr>
      </w:pPr>
      <w:r>
        <w:rPr>
          <w:lang w:val="el" w:eastAsia="el"/>
        </w:rPr>
        <w:t>Μήνας/έτος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2"/>
        <w:gridCol w:w="1730"/>
        <w:gridCol w:w="1370"/>
        <w:gridCol w:w="1174"/>
        <w:gridCol w:w="1411"/>
        <w:gridCol w:w="719"/>
        <w:gridCol w:w="719"/>
        <w:gridCol w:w="742"/>
        <w:gridCol w:w="857"/>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 εθνικό νόμισμα)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ΦΥΣΗ ΤΟΥ ΠΟΡΟΥ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κράτους μέλους (προαιρετικά)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Βεβαιώσεις του μήνα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Εισπραχθέντα ποσά της χωριστής λογιστικής</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Διορθώσεις προηγούμενων βεβαιώσεων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Μικτά ποσά</w:t>
            </w:r>
          </w:p>
          <w:p>
            <w:pPr>
              <w:spacing w:before="240"/>
              <w:rPr>
                <w:b w:val="0"/>
                <w:bCs w:val="0"/>
                <w:i w:val="0"/>
                <w:iCs w:val="0"/>
                <w:smallCaps w:val="0"/>
                <w:color w:val="000000"/>
                <w:lang w:val="el" w:eastAsia="el"/>
              </w:rPr>
            </w:pPr>
            <w:r>
              <w:rPr>
                <w:b w:val="0"/>
                <w:bCs w:val="0"/>
                <w:i w:val="0"/>
                <w:iCs w:val="0"/>
                <w:smallCaps w:val="0"/>
                <w:color w:val="000000"/>
                <w:lang w:val="el" w:eastAsia="el"/>
              </w:rPr>
              <w:t>(5) = (1) + (2) + (3) –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ποσά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1230</w:t>
            </w:r>
          </w:p>
          <w:p>
            <w:pPr>
              <w:spacing w:before="240"/>
              <w:rPr>
                <w:b w:val="0"/>
                <w:bCs w:val="0"/>
                <w:i w:val="0"/>
                <w:iCs w:val="0"/>
                <w:smallCaps w:val="0"/>
                <w:color w:val="000000"/>
                <w:lang w:val="el" w:eastAsia="el"/>
              </w:rPr>
            </w:pPr>
            <w:r>
              <w:rPr>
                <w:b w:val="0"/>
                <w:bCs w:val="0"/>
                <w:i w:val="0"/>
                <w:iCs w:val="0"/>
                <w:smallCaps w:val="0"/>
                <w:color w:val="000000"/>
                <w:lang w:val="el" w:eastAsia="el"/>
              </w:rPr>
              <w:t>1240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 μείον αντισταθμιστικοί δασμοί και αντιντάμπινγκ Αντισταθμιστικοί δασμοί και αντιντάμπινγκ επί προϊόντων Αντισταθμιστικοί δασμοί και αντιντάμπινγκ επί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1130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1170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1180</w:t>
            </w:r>
          </w:p>
          <w:p>
            <w:pPr>
              <w:spacing w:before="240"/>
              <w:rPr>
                <w:b w:val="0"/>
                <w:bCs w:val="0"/>
                <w:i w:val="0"/>
                <w:iCs w:val="0"/>
                <w:smallCaps w:val="0"/>
                <w:color w:val="000000"/>
                <w:lang w:val="el" w:eastAsia="el"/>
              </w:rPr>
            </w:pPr>
            <w:r>
              <w:rPr>
                <w:b w:val="0"/>
                <w:bCs w:val="0"/>
                <w:i w:val="0"/>
                <w:iCs w:val="0"/>
                <w:smallCaps w:val="0"/>
                <w:color w:val="000000"/>
                <w:lang w:val="el" w:eastAsia="el"/>
              </w:rPr>
              <w:t>1190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Εισφορές για την παραγωγή για την περίοδο εμπορίας 2005/2006 και τα προηγούμενα 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Εισφορές για την αποθεματοποίηση ζάχαρης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Ποσά εισπραχθέντα επί της παραγωγής ζάχαρης, ισογλυκόζης και σιροπιού μη εξαχθείσας ινουλίνης C και για τη ζάχαρη C και την ισογλυκόζη C υποκατάστασης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Φόρος επί της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αποκοπή εισφορά για τις συμπληρωματικές ποσοστώσεις ζάχαρης ή τις συμπληρωματικές ποσοστώσεις ισογλυκόζης</w:t>
            </w:r>
          </w:p>
          <w:p>
            <w:pPr>
              <w:spacing w:before="240"/>
              <w:rPr>
                <w:b w:val="0"/>
                <w:bCs w:val="0"/>
                <w:i w:val="0"/>
                <w:iCs w:val="0"/>
                <w:smallCaps w:val="0"/>
                <w:color w:val="000000"/>
                <w:lang w:val="el" w:eastAsia="el"/>
              </w:rPr>
            </w:pPr>
            <w:r>
              <w:rPr>
                <w:b w:val="0"/>
                <w:bCs w:val="0"/>
                <w:i w:val="0"/>
                <w:iCs w:val="0"/>
                <w:smallCaps w:val="0"/>
                <w:color w:val="000000"/>
                <w:lang w:val="el" w:eastAsia="el"/>
              </w:rPr>
              <w:t>Εισφορά επί του πλεονάσματος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ΕΙΣΦΟΡΕΣ ΖΑΧΑΡΗΣ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12 + 11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25 % έξοδα είσπραξης</w:t>
            </w:r>
          </w:p>
          <w:p>
            <w:pPr>
              <w:spacing w:before="240"/>
              <w:rPr>
                <w:b w:val="0"/>
                <w:bCs w:val="0"/>
                <w:i w:val="0"/>
                <w:iCs w:val="0"/>
                <w:smallCaps w:val="0"/>
                <w:color w:val="000000"/>
                <w:lang w:val="el" w:eastAsia="el"/>
              </w:rPr>
            </w:pPr>
            <w:r>
              <w:rPr>
                <w:b w:val="0"/>
                <w:bCs w:val="0"/>
                <w:i w:val="0"/>
                <w:iCs w:val="0"/>
                <w:smallCaps w:val="0"/>
                <w:color w:val="000000"/>
                <w:lang w:val="el" w:eastAsia="el"/>
              </w:rPr>
              <w:t>— 10 % έξοδα είσπραξης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προς καταβολή στις 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t>
      </w:r>
      <w:r>
        <w:rPr>
          <w:sz w:val="30"/>
          <w:szCs w:val="30"/>
          <w:vertAlign w:val="superscript"/>
          <w:lang w:val="el" w:eastAsia="el"/>
        </w:rPr>
        <w:t>1</w:t>
      </w:r>
      <w:r>
        <w:rPr>
          <w:lang w:val="el" w:eastAsia="el"/>
        </w:rPr>
        <w:t>) Συμπεριλαμβανομένων των λογιστικών διορθώσεων.</w:t>
      </w:r>
    </w:p>
    <w:p>
      <w:pPr>
        <w:spacing w:before="240" w:after="240"/>
        <w:rPr>
          <w:lang w:val="el" w:eastAsia="el"/>
        </w:rPr>
      </w:pPr>
      <w:r>
        <w:rPr>
          <w:lang w:val="el" w:eastAsia="el"/>
        </w:rPr>
        <w:t>(</w:t>
      </w:r>
      <w:r>
        <w:rPr>
          <w:sz w:val="30"/>
          <w:szCs w:val="30"/>
          <w:vertAlign w:val="superscript"/>
          <w:lang w:val="el" w:eastAsia="el"/>
        </w:rPr>
        <w:t>2</w:t>
      </w:r>
      <w:r>
        <w:rPr>
          <w:lang w:val="el" w:eastAsia="el"/>
        </w:rPr>
        <w:t>) Πρόκειται για διορθώσεις αρχικών βεβαιώσεων και ιδίως για εκ των υστέρων εισπράξεις και επιστροφές . Όσον αφορά τη ζάχαρη , οι διορθώσεις των προηγούμενων περιόδων εμπορίας πρέπει να αναφέρουν την περίοδο την οποία αφορούν .</w:t>
      </w:r>
    </w:p>
    <w:p>
      <w:pPr>
        <w:spacing w:before="240" w:after="240"/>
        <w:rPr>
          <w:lang w:val="el" w:eastAsia="el"/>
        </w:rPr>
      </w:pPr>
      <w:r>
        <w:rPr>
          <w:lang w:val="el" w:eastAsia="el"/>
        </w:rPr>
        <w:t>(</w:t>
      </w:r>
      <w:r>
        <w:rPr>
          <w:sz w:val="30"/>
          <w:szCs w:val="30"/>
          <w:vertAlign w:val="superscript"/>
          <w:lang w:val="el" w:eastAsia="el"/>
        </w:rPr>
        <w:t>3</w:t>
      </w:r>
      <w:r>
        <w:rPr>
          <w:lang w:val="el" w:eastAsia="el"/>
        </w:rPr>
        <w:t>) Το ποσοστό παρακράτησης 10% εφαρμόζεται στα ποσά τα οποία σύμφωνα με τους κοινοτικούς κανόνες έπρεπε να είχαν αποδοθεί πριν από τις 28 Φεβρουαρίου 2001.</w:t>
      </w:r>
    </w:p>
    <w:p>
      <w:pPr>
        <w:spacing w:before="240" w:after="240"/>
        <w:rPr>
          <w:lang w:val="el" w:eastAsia="el"/>
        </w:rPr>
      </w:pPr>
      <w:r>
        <w:rPr>
          <w:lang w:val="el" w:eastAsia="el"/>
        </w:rPr>
        <w:t>(*) Συμπεριλαμβανομένων των βεβαιώσεων μετά από ελέγχους και ανιχνευθείσες περιπτώσεις απάτης και παρατυπιών »</w:t>
      </w:r>
    </w:p>
    <w:p>
      <w:pPr>
        <w:pStyle w:val="MainText"/>
        <w:spacing w:before="120" w:after="0"/>
        <w:rPr>
          <w:lang w:val="el" w:eastAsia="el"/>
        </w:rPr>
      </w:pPr>
      <w:r>
        <w:rPr>
          <w:b/>
          <w:bCs/>
          <w:lang w:val="el" w:eastAsia="el"/>
        </w:rPr>
        <w:t>1.</w:t>
      </w:r>
      <w:r>
        <w:rPr>
          <w:lang w:val="el" w:eastAsia="el"/>
        </w:rPr>
        <w:t xml:space="preserve"> 7.2009 </w:t>
      </w:r>
      <w:r>
        <w:rPr>
          <w:sz w:val="30"/>
          <w:szCs w:val="30"/>
          <w:vertAlign w:val="superscript"/>
          <w:lang w:val="el" w:eastAsia="el"/>
        </w:rPr>
        <w:t>EL</w:t>
      </w:r>
      <w:r>
        <w:rPr>
          <w:lang w:val="el" w:eastAsia="el"/>
        </w:rPr>
        <w:t xml:space="preserve"> Επίσημη Εφημερίδα της Ευρωπαϊκής Ένωσης L 171/39</w:t>
      </w:r>
    </w:p>
    <w:p>
      <w:pPr>
        <w:spacing w:before="240" w:after="240"/>
        <w:rPr>
          <w:lang w:val="el" w:eastAsia="el"/>
        </w:rPr>
      </w:pPr>
      <w:r>
        <w:rPr>
          <w:i/>
          <w:iCs/>
          <w:lang w:val="el" w:eastAsia="el"/>
        </w:rPr>
        <w:t>ΠΑΡΑΡΤΗΜΑ II</w:t>
      </w:r>
    </w:p>
    <w:p>
      <w:pPr>
        <w:spacing w:before="240" w:after="240"/>
        <w:rPr>
          <w:lang w:val="el" w:eastAsia="el"/>
        </w:rPr>
      </w:pPr>
      <w:r>
        <w:rPr>
          <w:i/>
          <w:iCs/>
          <w:lang w:val="el" w:eastAsia="el"/>
        </w:rPr>
        <w:t>«ΠΑΡΑΡΤΗΜΑ III</w:t>
      </w:r>
    </w:p>
    <w:p>
      <w:pPr>
        <w:spacing w:before="240" w:after="240"/>
        <w:rPr>
          <w:lang w:val="el" w:eastAsia="el"/>
        </w:rPr>
      </w:pPr>
      <w:r>
        <w:rPr>
          <w:b/>
          <w:bCs/>
          <w:lang w:val="el" w:eastAsia="el"/>
        </w:rPr>
        <w:t xml:space="preserve">ΧΩΡΙΣΤΗ ΛΟΓΙΣΤΙΚΗ ΤΩΝ ΙΔΙΩΝ ΠΟΡΩΝ ΤΩΝ ΕΥΡΩΠΑΪΚΩΝ ΚΟΙΝΟΤΗΤΩΝ </w:t>
      </w:r>
      <w:r>
        <w:rPr>
          <w:lang w:val="el" w:eastAsia="el"/>
        </w:rPr>
        <w:t>(*)</w:t>
      </w:r>
    </w:p>
    <w:p>
      <w:pPr>
        <w:spacing w:before="240" w:after="240"/>
        <w:rPr>
          <w:lang w:val="el" w:eastAsia="el"/>
        </w:rPr>
      </w:pPr>
      <w:r>
        <w:rPr>
          <w:b/>
          <w:bCs/>
          <w:lang w:val="el" w:eastAsia="el"/>
        </w:rPr>
        <w:t>Κατάσταση βεβαιωθέντων δασμών που δεν περιλαμβάνονται στη λογιστική “Α ”</w:t>
      </w:r>
    </w:p>
    <w:p>
      <w:pPr>
        <w:spacing w:before="240" w:after="240"/>
        <w:rPr>
          <w:lang w:val="el" w:eastAsia="el"/>
        </w:rPr>
      </w:pPr>
      <w:r>
        <w:rPr>
          <w:lang w:val="el" w:eastAsia="el"/>
        </w:rPr>
        <w:t>Κράτος μέλος:</w:t>
      </w:r>
    </w:p>
    <w:p>
      <w:pPr>
        <w:spacing w:before="240" w:after="240"/>
        <w:rPr>
          <w:lang w:val="el" w:eastAsia="el"/>
        </w:rPr>
      </w:pPr>
      <w:r>
        <w:rPr>
          <w:lang w:val="el" w:eastAsia="el"/>
        </w:rPr>
        <w:t>Τρίμηνο/έτος: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5"/>
        <w:gridCol w:w="1598"/>
        <w:gridCol w:w="1296"/>
        <w:gridCol w:w="1271"/>
        <w:gridCol w:w="1133"/>
        <w:gridCol w:w="863"/>
        <w:gridCol w:w="762"/>
        <w:gridCol w:w="932"/>
        <w:gridCol w:w="91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ΦΥΣΗ ΤΟΥ ΠΟΡΟΥ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Μικτό υπόλοιπο προς είσπραξη του προηγούμενου τριμήνου</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Βεβαιωθέντες δασμοί του σχετικού τριμήνου</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Διόρθωση των βεβαιώσεων (Άρθρο 8)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Ποσά των οποίων η απόδοση είναι αδύνατη [Άρθρο 17(2)]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(1 + 2 ± 3 – 4)</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Είσπραξη κατά τη διάρκεια του τριμήνου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Μικτό υπόλοιπο προς είσπραξη στο τέλος του σχετικού τριμήνου</w:t>
            </w:r>
          </w:p>
          <w:p>
            <w:pPr>
              <w:spacing w:before="240"/>
              <w:rPr>
                <w:b w:val="0"/>
                <w:bCs w:val="0"/>
                <w:i w:val="0"/>
                <w:iCs w:val="0"/>
                <w:smallCaps w:val="0"/>
                <w:color w:val="000000"/>
                <w:lang w:val="el" w:eastAsia="el"/>
              </w:rPr>
            </w:pPr>
            <w:r>
              <w:rPr>
                <w:b w:val="0"/>
                <w:bCs w:val="0"/>
                <w:i w:val="0"/>
                <w:iCs w:val="0"/>
                <w:smallCaps w:val="0"/>
                <w:color w:val="000000"/>
                <w:lang w:val="el" w:eastAsia="el"/>
              </w:rPr>
              <w:t>(7) = (5) –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1230</w:t>
            </w:r>
          </w:p>
          <w:p>
            <w:pPr>
              <w:spacing w:before="240"/>
              <w:rPr>
                <w:b w:val="0"/>
                <w:bCs w:val="0"/>
                <w:i w:val="0"/>
                <w:iCs w:val="0"/>
                <w:smallCaps w:val="0"/>
                <w:color w:val="000000"/>
                <w:lang w:val="el" w:eastAsia="el"/>
              </w:rPr>
            </w:pPr>
            <w:r>
              <w:rPr>
                <w:b w:val="0"/>
                <w:bCs w:val="0"/>
                <w:i w:val="0"/>
                <w:iCs w:val="0"/>
                <w:smallCaps w:val="0"/>
                <w:color w:val="000000"/>
                <w:lang w:val="el" w:eastAsia="el"/>
              </w:rPr>
              <w:t>1240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 μείον αντισταθμιστικοί δασμοί και αντιντάμπινγκ Αντισταθμιστικοί δασμοί και αντιντάμπινγκ επί προϊόντων Αντισταθμιστικοί δασμοί και αντιντάμπινγκ επί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1130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1170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1180</w:t>
            </w:r>
          </w:p>
          <w:p>
            <w:pPr>
              <w:spacing w:before="240"/>
              <w:rPr>
                <w:b w:val="0"/>
                <w:bCs w:val="0"/>
                <w:i w:val="0"/>
                <w:iCs w:val="0"/>
                <w:smallCaps w:val="0"/>
                <w:color w:val="000000"/>
                <w:lang w:val="el" w:eastAsia="el"/>
              </w:rPr>
            </w:pPr>
            <w:r>
              <w:rPr>
                <w:b w:val="0"/>
                <w:bCs w:val="0"/>
                <w:i w:val="0"/>
                <w:iCs w:val="0"/>
                <w:smallCaps w:val="0"/>
                <w:color w:val="000000"/>
                <w:lang w:val="el" w:eastAsia="el"/>
              </w:rPr>
              <w:t>1190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Εισφορές για την παραγωγή για την περίοδο εμπορίας 2005/2006 και τα προηγούμενα 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Εισφορές για την αποθεματοποίηση ζάχαρης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Ποσά εισπραχθέντα επί της παραγωγής ζάχαρης, ισογλυκόζης και σιροπιού μη εξαχθείσας ινουλίνης C και για τη ζάχαρη C και την ισογλυκόζη C υποκατάστασης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Φόρος επί της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αποκοπή εισφορά για τις συμπληρωματικές ποσοστώσεις ζάχαρης ή τις συμπληρωματικές ποσοστώσεις ισογλυκόζης</w:t>
            </w:r>
          </w:p>
          <w:p>
            <w:pPr>
              <w:spacing w:before="240"/>
              <w:rPr>
                <w:b w:val="0"/>
                <w:bCs w:val="0"/>
                <w:i w:val="0"/>
                <w:iCs w:val="0"/>
                <w:smallCaps w:val="0"/>
                <w:color w:val="000000"/>
                <w:lang w:val="el" w:eastAsia="el"/>
              </w:rPr>
            </w:pPr>
            <w:r>
              <w:rPr>
                <w:b w:val="0"/>
                <w:bCs w:val="0"/>
                <w:i w:val="0"/>
                <w:iCs w:val="0"/>
                <w:smallCaps w:val="0"/>
                <w:color w:val="000000"/>
                <w:lang w:val="el" w:eastAsia="el"/>
              </w:rPr>
              <w:t>Εισφορά επί του πλεονάσματος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ΕΙΣΦΟΡΕΣ ΖΑΧΑΡΗΣ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12 + 11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Εκτίμηση βεβαιώσεων των οποίων η είσπραξη αποδεικνύεται αβέβαιη (</w:t>
            </w: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(σε εθνικό νόμισμα)</w:t>
      </w:r>
    </w:p>
    <w:p>
      <w:pPr>
        <w:spacing w:before="240" w:after="240"/>
        <w:rPr>
          <w:lang w:val="el" w:eastAsia="el"/>
        </w:rPr>
      </w:pPr>
      <w:r>
        <w:rPr>
          <w:lang w:val="el" w:eastAsia="el"/>
        </w:rPr>
        <w:t>(1) Ως διόρθωση βεβαιώσεων νοούνται οι διορθώσεις, περιλαμβανόμενων και των ακυρώσεων λόγω αναθεώρησης της αρχικής βεβαίωσης που έγιναν για τα προηγούμενα τρίμηνα . Λόγω της φύσης τους, είναι διαφορετικές από αυτές που καταχωρίζονται στη στήλη (4).</w:t>
      </w:r>
    </w:p>
    <w:p>
      <w:pPr>
        <w:spacing w:before="240" w:after="240"/>
        <w:rPr>
          <w:lang w:val="el" w:eastAsia="el"/>
        </w:rPr>
      </w:pPr>
      <w:r>
        <w:rPr>
          <w:lang w:val="el" w:eastAsia="el"/>
        </w:rPr>
        <w:t>(2) Όλες οι περιπτώσεις πρέπει να αναλύονται στο παράρτημα ΙΙΙα το οποίο πρέπει να σταλεί συγχρόνως με την τριμηνιαία κατάσταση . Το σύνολο της στήλης (4) και το σύνολο του παραρτήματος ΙΙΙα πρέπει να είναι ίδια.</w:t>
      </w:r>
    </w:p>
    <w:p>
      <w:pPr>
        <w:spacing w:before="240" w:after="240"/>
        <w:rPr>
          <w:lang w:val="el" w:eastAsia="el"/>
        </w:rPr>
      </w:pPr>
      <w:r>
        <w:rPr>
          <w:lang w:val="el" w:eastAsia="el"/>
        </w:rPr>
        <w:t>(3) Το συνολικό ποσό αυτής της στήλης πρέπει να συμπίπτει με το σύνολο των ποσών που ανγράφονται στη στήλη (2) της κατάστασης της λογιστικής “Α” για τους τρεις σχετικούς μήνες.</w:t>
      </w:r>
    </w:p>
    <w:p>
      <w:pPr>
        <w:spacing w:before="240" w:after="240"/>
        <w:rPr>
          <w:lang w:val="el" w:eastAsia="el"/>
        </w:rPr>
      </w:pPr>
      <w:r>
        <w:rPr>
          <w:lang w:val="el" w:eastAsia="el"/>
        </w:rPr>
        <w:t>(4) Υποχρεωτικό για την κατάσταση του τέταρτου τριμήνου κάθε οικονομικού έτους. Εάν η εκτίμηση είναι μηδέν, πρέπει να αναφέρεται η ένδειξη “ουδέν”.</w:t>
      </w:r>
    </w:p>
    <w:p>
      <w:pPr>
        <w:spacing w:before="240" w:after="240"/>
        <w:rPr>
          <w:lang w:val="el" w:eastAsia="el"/>
        </w:rPr>
      </w:pPr>
      <w:r>
        <w:rPr>
          <w:lang w:val="el" w:eastAsia="el"/>
        </w:rPr>
        <w:t>(*) Λογιστική καλούμενη “Β” βάσει του άρθρου 6 παράγραφος 3 στοιχείο β) του κανονισμού (ΕΚ, Ευρατόμ) αριθ. 1150/2000, συμπεριλαμβανομένων και των βεβαιώσεων μετά από ελέγχους και ανιχνευθείσες περιπτώσεις απάτης και παρατυπιών .»</w:t>
      </w:r>
    </w:p>
    <w:p>
      <w:pPr>
        <w:spacing w:before="240" w:after="240"/>
        <w:rPr>
          <w:lang w:val="el" w:eastAsia="el"/>
        </w:rPr>
      </w:pPr>
      <w:r>
        <w:rPr>
          <w:lang w:val="el" w:eastAsia="el"/>
        </w:rPr>
        <w:t xml:space="preserve">171/40 </w:t>
      </w:r>
      <w:r>
        <w:rPr>
          <w:sz w:val="30"/>
          <w:szCs w:val="30"/>
          <w:vertAlign w:val="superscript"/>
          <w:lang w:val="el" w:eastAsia="el"/>
        </w:rPr>
        <w:t>EL</w:t>
      </w:r>
      <w:r>
        <w:rPr>
          <w:lang w:val="el" w:eastAsia="el"/>
        </w:rPr>
        <w:t xml:space="preserve"> Επίσημη Εφημερίδα της Ευρωπαϊκής Ένωσης</w:t>
      </w:r>
    </w:p>
    <w:p>
      <w:pPr>
        <w:spacing w:before="240" w:after="240"/>
        <w:rPr>
          <w:lang w:val="el" w:eastAsia="el"/>
        </w:rPr>
      </w:pPr>
      <w:r>
        <w:rPr>
          <w:i/>
          <w:iCs/>
          <w:lang w:val="el" w:eastAsia="el"/>
        </w:rPr>
        <w:t>ΠΑΡΑΡΤΗΜΑ ΙΙΙ</w:t>
      </w:r>
    </w:p>
    <w:p>
      <w:pPr>
        <w:spacing w:before="240" w:after="240"/>
        <w:rPr>
          <w:lang w:val="el" w:eastAsia="el"/>
        </w:rPr>
      </w:pPr>
      <w:r>
        <w:rPr>
          <w:i/>
          <w:iCs/>
          <w:lang w:val="el" w:eastAsia="el"/>
        </w:rPr>
        <w:t>«ΠΑΡΑΡΤΗΜΑ VI</w:t>
      </w:r>
    </w:p>
    <w:p>
      <w:pPr>
        <w:spacing w:before="240" w:after="240"/>
        <w:rPr>
          <w:lang w:val="el" w:eastAsia="el"/>
        </w:rPr>
      </w:pPr>
      <w:r>
        <w:rPr>
          <w:b/>
          <w:bCs/>
          <w:lang w:val="el" w:eastAsia="el"/>
        </w:rPr>
        <w:t>ΕΤΗΣΙΑ ΕΚΘΕΣΗπου αναφέρεται στο άρθρο 17 παράγραφος 5 του κανονισμού (ΕΚ, Ευρατόμ) αριθ. 1150/2000</w:t>
      </w:r>
    </w:p>
    <w:p>
      <w:pPr>
        <w:spacing w:before="240" w:after="240"/>
        <w:rPr>
          <w:lang w:val="el" w:eastAsia="el"/>
        </w:rPr>
      </w:pPr>
      <w:r>
        <w:rPr>
          <w:b/>
          <w:bCs/>
          <w:lang w:val="el" w:eastAsia="el"/>
        </w:rPr>
        <w:t>20…</w:t>
      </w:r>
    </w:p>
    <w:p>
      <w:pPr>
        <w:spacing w:before="240" w:after="240"/>
        <w:rPr>
          <w:lang w:val="el" w:eastAsia="el"/>
        </w:rPr>
      </w:pPr>
      <w:r>
        <w:rPr>
          <w:lang w:val="el" w:eastAsia="el"/>
        </w:rPr>
        <w:t xml:space="preserve">Κράτος μέλος </w:t>
      </w:r>
    </w:p>
    <w:p>
      <w:pPr>
        <w:spacing w:before="240" w:after="240"/>
        <w:rPr>
          <w:lang w:val="el" w:eastAsia="el"/>
        </w:rPr>
      </w:pPr>
      <w:r>
        <w:rPr>
          <w:lang w:val="el" w:eastAsia="el"/>
        </w:rPr>
        <w:t xml:space="preserve">1. </w:t>
      </w:r>
      <w:r>
        <w:rPr>
          <w:b/>
          <w:bCs/>
          <w:lang w:val="el" w:eastAsia="el"/>
        </w:rPr>
        <w:t>Δραστηριότητες έλεγχου των κρατών μελών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86"/>
        <w:gridCol w:w="1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Διασαφήσεις σε τελωνείο που έχουν γίνει αποδεκτές (αντίστοιχο τελωνειακό καθεστώς ή τελωνειακός προορισμός)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Διασαφήσεις σε τελωνείο που έχουν ελεγχθεί μετά από εκτελωνισμό, αντίστοιχο τελωνειακό καθεστώς ή τελωνειακός προορισμός (εκ των υστέρων έλεγχοι)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προσωπικού των τελωνειακών υπηρεσιών σε εθνικό επίπεδο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προσωπικού για ελέγχους μετά από εκτελωνισμό σε εθνικό επίπεδο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t>
      </w:r>
      <w:r>
        <w:rPr>
          <w:sz w:val="30"/>
          <w:szCs w:val="30"/>
          <w:vertAlign w:val="superscript"/>
          <w:lang w:val="el" w:eastAsia="el"/>
        </w:rPr>
        <w:t>1</w:t>
      </w:r>
      <w:r>
        <w:rPr>
          <w:lang w:val="el" w:eastAsia="el"/>
        </w:rPr>
        <w:t>) Συνολικός αριθμός του τελωνειακού προσωπικού (αριθμός υπαλλήλων ανά έτος).</w:t>
      </w:r>
    </w:p>
    <w:p>
      <w:pPr>
        <w:spacing w:before="240" w:after="240"/>
        <w:rPr>
          <w:lang w:val="el" w:eastAsia="el"/>
        </w:rPr>
      </w:pPr>
      <w:r>
        <w:rPr>
          <w:lang w:val="el" w:eastAsia="el"/>
        </w:rPr>
        <w:t xml:space="preserve">2. </w:t>
      </w:r>
      <w:r>
        <w:rPr>
          <w:b/>
          <w:bCs/>
          <w:lang w:val="el" w:eastAsia="el"/>
        </w:rPr>
        <w:t>Ζητήματα αρχής</w:t>
      </w:r>
    </w:p>
    <w:p>
      <w:pPr>
        <w:spacing w:before="240" w:after="240"/>
        <w:rPr>
          <w:lang w:val="el" w:eastAsia="el"/>
        </w:rPr>
      </w:pPr>
      <w:r>
        <w:rPr>
          <w:lang w:val="el" w:eastAsia="el"/>
        </w:rPr>
        <w:t>Κατάλογος των σημαντικότερων ζητημάτων όσον αφορά τη βεβαίωση, τη λογιστική καταχώριση και την απόδοση, που ανέκυψαν κατά την εφαρμογή του κανονισμού (ΕΚ, Ευρατόμ) αριθ. 1150/2000, συμπεριλαμβανομένων εκείνων που προκύπτουν σε περιπτώσεις διαφορών.</w:t>
      </w:r>
    </w:p>
    <w:p>
      <w:pPr>
        <w:spacing w:before="240" w:after="240"/>
        <w:rPr>
          <w:lang w:val="el" w:eastAsia="el"/>
        </w:rPr>
      </w:pPr>
      <w:r>
        <w:rPr>
          <w:i/>
          <w:iCs/>
          <w:lang w:val="el" w:eastAsia="el"/>
        </w:rPr>
        <w:t>(Εάν χρειαστεί, να συνεχιστεί σε παράρτημα, με μνεία του παρόντος σημείου)»</w:t>
      </w:r>
    </w:p>
    <w:p>
      <w:pPr>
        <w:spacing w:before="240" w:after="240"/>
        <w:rPr>
          <w:lang w:val="el" w:eastAsia="el"/>
        </w:rPr>
      </w:pPr>
      <w:r>
        <w:rPr>
          <w:i/>
          <w:iCs/>
          <w:lang w:val="el" w:eastAsia="el"/>
        </w:rPr>
        <w:t>ΠΑΡΑΡΤΗΜΑ IV</w:t>
      </w:r>
    </w:p>
    <w:p>
      <w:pPr>
        <w:spacing w:before="240" w:after="240"/>
        <w:rPr>
          <w:lang w:val="el" w:eastAsia="el"/>
        </w:rPr>
      </w:pPr>
      <w:r>
        <w:rPr>
          <w:i/>
          <w:iCs/>
          <w:lang w:val="el" w:eastAsia="el"/>
        </w:rPr>
        <w:t>«ΠΑΡΑΡΤΗΜΑ VII</w:t>
      </w:r>
    </w:p>
    <w:p>
      <w:pPr>
        <w:spacing w:before="240" w:after="240"/>
        <w:rPr>
          <w:lang w:val="el" w:eastAsia="el"/>
        </w:rPr>
      </w:pPr>
      <w:r>
        <w:rPr>
          <w:b/>
          <w:bCs/>
          <w:lang w:val="el" w:eastAsia="el"/>
        </w:rPr>
        <w:t>Έκθεση που αναφέρεται στο άρθρο 17 παράγραφος 3 τρίτο εδάφιο του κανονισμού (ΕΚ, Ευρατόμ) αριθ. 1150/2000</w:t>
      </w:r>
    </w:p>
    <w:p>
      <w:pPr>
        <w:spacing w:before="240" w:after="240"/>
        <w:rPr>
          <w:lang w:val="el" w:eastAsia="el"/>
        </w:rPr>
      </w:pPr>
      <w:r>
        <w:rPr>
          <w:lang w:val="el" w:eastAsia="el"/>
        </w:rPr>
        <w:t>Πρέπει να υποβάλλονται όλες οι ισχύουσες και σχετικές πληροφορίες, εκτός αν άλλως ορίζεται. Πρέπει να σημειώνονται όλα τα ποσά στο νόμισμα του αντίστοιχου κράτους μέλους κατά την υποβολή της έκθεσης.</w:t>
      </w:r>
    </w:p>
    <w:p>
      <w:pPr>
        <w:spacing w:before="240" w:after="240"/>
        <w:rPr>
          <w:lang w:val="el" w:eastAsia="el"/>
        </w:rPr>
      </w:pPr>
      <w:r>
        <w:rPr>
          <w:lang w:val="el" w:eastAsia="el"/>
        </w:rPr>
        <w:t>1. ΓΕΝΙΚΑ ΣΤΟΙΧΕΙΑ</w:t>
      </w:r>
    </w:p>
    <w:p>
      <w:pPr>
        <w:spacing w:before="240" w:after="240"/>
        <w:rPr>
          <w:lang w:val="el" w:eastAsia="el"/>
        </w:rPr>
      </w:pPr>
      <w:r>
        <w:rPr>
          <w:lang w:val="el" w:eastAsia="el"/>
        </w:rPr>
        <w:t xml:space="preserve">Κράτος μέλος </w:t>
      </w:r>
    </w:p>
    <w:p>
      <w:pPr>
        <w:spacing w:before="240" w:after="240"/>
        <w:rPr>
          <w:lang w:val="el" w:eastAsia="el"/>
        </w:rPr>
      </w:pPr>
      <w:r>
        <w:rPr>
          <w:lang w:val="el" w:eastAsia="el"/>
        </w:rPr>
        <w:t xml:space="preserve">Στοιχεία αναφοράς της έκθεσης </w:t>
      </w:r>
    </w:p>
    <w:p>
      <w:pPr>
        <w:spacing w:before="240" w:after="240"/>
        <w:rPr>
          <w:lang w:val="el" w:eastAsia="el"/>
        </w:rPr>
      </w:pPr>
      <w:r>
        <w:rPr>
          <w:lang w:val="el" w:eastAsia="el"/>
        </w:rPr>
        <w:t>(Κωδικός του κράτους μέλους/έτος υποβολής έκθεσης/αύξων αριθμός ανά έτος υποβολής έκθεσης)</w:t>
      </w:r>
    </w:p>
    <w:p>
      <w:pPr>
        <w:spacing w:before="240" w:after="240"/>
        <w:rPr>
          <w:lang w:val="el" w:eastAsia="el"/>
        </w:rPr>
      </w:pPr>
      <w:r>
        <w:rPr>
          <w:lang w:val="el" w:eastAsia="el"/>
        </w:rPr>
        <w:t xml:space="preserve">Αναφορά σε σχετικό έντυπο παροχής πληροφοριών που έχει ήδη σταλεί σύμφωνα με το άρθρο 6 παράγραφος 5 του κανονισμού (ΕΚ, Ευρατόμ) αριθ. 1150/2000 </w:t>
      </w:r>
    </w:p>
    <w:p>
      <w:pPr>
        <w:spacing w:before="240" w:after="240"/>
        <w:rPr>
          <w:lang w:val="el" w:eastAsia="el"/>
        </w:rPr>
      </w:pPr>
      <w:r>
        <w:rPr>
          <w:lang w:val="el" w:eastAsia="el"/>
        </w:rPr>
        <w:t xml:space="preserve">Αιτιολόγηση απουσίας στοιχείου αναφοράς σε σχετικό προαναφερθέν έντυπο παροχής πληροφοριών </w:t>
      </w:r>
    </w:p>
    <w:p>
      <w:pPr>
        <w:spacing w:before="240" w:after="240"/>
        <w:rPr>
          <w:lang w:val="el" w:eastAsia="el"/>
        </w:rPr>
      </w:pPr>
      <w:r>
        <w:rPr>
          <w:lang w:val="el" w:eastAsia="el"/>
        </w:rPr>
        <w:t>Υπόθεση σχετική με έλεγχο της Κοινότητας (Ναι/Όχι)</w:t>
      </w:r>
    </w:p>
    <w:p>
      <w:pPr>
        <w:spacing w:before="240" w:after="240"/>
        <w:rPr>
          <w:lang w:val="el" w:eastAsia="el"/>
        </w:rPr>
      </w:pPr>
      <w:r>
        <w:rPr>
          <w:lang w:val="el" w:eastAsia="el"/>
        </w:rPr>
        <w:t xml:space="preserve">Αναφορά σε σχετικό έλεγχο της Κοινότητας </w:t>
      </w:r>
    </w:p>
    <w:p>
      <w:pPr>
        <w:spacing w:before="240" w:after="240"/>
        <w:rPr>
          <w:lang w:val="el" w:eastAsia="el"/>
        </w:rPr>
      </w:pPr>
      <w:r>
        <w:rPr>
          <w:lang w:val="el" w:eastAsia="el"/>
        </w:rPr>
        <w:t xml:space="preserve">Συνολικό μη ανακτήσιμο ποσό </w:t>
      </w:r>
    </w:p>
    <w:p>
      <w:pPr>
        <w:spacing w:before="240" w:after="240"/>
        <w:rPr>
          <w:lang w:val="el" w:eastAsia="el"/>
        </w:rPr>
      </w:pPr>
      <w:r>
        <w:rPr>
          <w:lang w:val="el" w:eastAsia="el"/>
        </w:rPr>
        <w:t xml:space="preserve">Αρχή η οποία δήλωσε ή θεώρησε ότι υφίσταται αδυναμία ανάκτησης των ποσών </w:t>
      </w:r>
    </w:p>
    <w:p>
      <w:pPr>
        <w:spacing w:before="240" w:after="240"/>
        <w:rPr>
          <w:lang w:val="el" w:eastAsia="el"/>
        </w:rPr>
      </w:pPr>
      <w:r>
        <w:rPr>
          <w:lang w:val="el" w:eastAsia="el"/>
        </w:rPr>
        <w:t xml:space="preserve">Εθνική αναφορά της διοικητικής απόφασης σχετικά με την αδυναμία ανάκτησης </w:t>
      </w:r>
    </w:p>
    <w:p>
      <w:pPr>
        <w:spacing w:before="240" w:after="240"/>
        <w:rPr>
          <w:lang w:val="el" w:eastAsia="el"/>
        </w:rPr>
      </w:pPr>
      <w:r>
        <w:rPr>
          <w:lang w:val="el" w:eastAsia="el"/>
        </w:rPr>
        <w:t>(Βλέπε δεύτερη στήλη του παραρτήματος ΙΙΙα της απόφασης 97/245/ΕΚ όπως τροποποιήθηκε με την απόφαση 2006/246/ΕΚ (</w:t>
      </w:r>
      <w:r>
        <w:rPr>
          <w:sz w:val="30"/>
          <w:szCs w:val="30"/>
          <w:vertAlign w:val="superscript"/>
          <w:lang w:val="el" w:eastAsia="el"/>
        </w:rPr>
        <w:t>1</w:t>
      </w:r>
      <w:r>
        <w:rPr>
          <w:lang w:val="el" w:eastAsia="el"/>
        </w:rPr>
        <w:t>))</w:t>
      </w:r>
    </w:p>
    <w:p>
      <w:pPr>
        <w:spacing w:before="240" w:after="240"/>
        <w:rPr>
          <w:lang w:val="el" w:eastAsia="el"/>
        </w:rPr>
      </w:pPr>
      <w:r>
        <w:rPr>
          <w:lang w:val="el" w:eastAsia="el"/>
        </w:rPr>
        <w:t xml:space="preserve">Ημερομηνία της διοικητικής απόφασης σχετικά με την αδυναμία ανάκτησης </w:t>
      </w:r>
    </w:p>
    <w:p>
      <w:pPr>
        <w:spacing w:before="240" w:after="240"/>
        <w:rPr>
          <w:lang w:val="el" w:eastAsia="el"/>
        </w:rPr>
      </w:pPr>
      <w:r>
        <w:rPr>
          <w:lang w:val="el" w:eastAsia="el"/>
        </w:rPr>
        <w:t xml:space="preserve">Ημερομηνία κατά την οποία το ποσό χαρακτηρίστηκε μη ανακτήσιμο </w:t>
      </w:r>
    </w:p>
    <w:p>
      <w:pPr>
        <w:spacing w:before="240" w:after="240"/>
        <w:rPr>
          <w:lang w:val="el" w:eastAsia="el"/>
        </w:rPr>
      </w:pPr>
      <w:r>
        <w:rPr>
          <w:lang w:val="el" w:eastAsia="el"/>
        </w:rPr>
        <w:t>2. ΓΕΝΕΣΗ ΟΦΕΙΛΗΣ</w:t>
      </w:r>
    </w:p>
    <w:p>
      <w:pPr>
        <w:spacing w:before="240" w:after="240"/>
        <w:rPr>
          <w:lang w:val="el" w:eastAsia="el"/>
        </w:rPr>
      </w:pPr>
      <w:r>
        <w:rPr>
          <w:lang w:val="el" w:eastAsia="el"/>
        </w:rPr>
        <w:t xml:space="preserve">Ημερομηνία ή περίοδος γένεσης της οφειλής </w:t>
      </w:r>
    </w:p>
    <w:p>
      <w:pPr>
        <w:spacing w:before="240" w:after="240"/>
        <w:rPr>
          <w:lang w:val="el" w:eastAsia="el"/>
        </w:rPr>
      </w:pPr>
      <w:r>
        <w:rPr>
          <w:lang w:val="el" w:eastAsia="el"/>
        </w:rPr>
        <w:t xml:space="preserve">Νομική βάση για τη γένεση οφειλής </w:t>
      </w:r>
    </w:p>
    <w:p>
      <w:pPr>
        <w:spacing w:before="240" w:after="240"/>
        <w:rPr>
          <w:lang w:val="el" w:eastAsia="el"/>
        </w:rPr>
      </w:pPr>
      <w:r>
        <w:rPr>
          <w:lang w:val="el" w:eastAsia="el"/>
        </w:rPr>
        <w:t>(Οι νομικές βάσεις που προηγούνται του κανονισμού (ΕΟΚ) αριθ. 2913/92 του Συμβουλίου (</w:t>
      </w:r>
      <w:r>
        <w:rPr>
          <w:sz w:val="30"/>
          <w:szCs w:val="30"/>
          <w:vertAlign w:val="superscript"/>
          <w:lang w:val="el" w:eastAsia="el"/>
        </w:rPr>
        <w:t>2</w:t>
      </w:r>
      <w:r>
        <w:rPr>
          <w:lang w:val="el" w:eastAsia="el"/>
        </w:rPr>
        <w:t>) πρέπει να αναφερθούν με βάση το αντίστοιχο άρθρο του κανονισμού (ΕΟΚ) αριθ. 2913/92)</w:t>
      </w:r>
    </w:p>
    <w:p>
      <w:pPr>
        <w:spacing w:before="240" w:after="240"/>
        <w:rPr>
          <w:lang w:val="el" w:eastAsia="el"/>
        </w:rPr>
      </w:pPr>
      <w:r>
        <w:rPr>
          <w:lang w:val="el" w:eastAsia="el"/>
        </w:rPr>
        <w:t xml:space="preserve">Τελωνειακή κατάσταση </w:t>
      </w:r>
    </w:p>
    <w:p>
      <w:pPr>
        <w:spacing w:before="240" w:after="240"/>
        <w:rPr>
          <w:lang w:val="el" w:eastAsia="el"/>
        </w:rPr>
      </w:pPr>
      <w:r>
        <w:rPr>
          <w:lang w:val="el" w:eastAsia="el"/>
        </w:rPr>
        <w:t>(Ισχύον τελωνειακό καθεστώς, κατάσταση των αγαθών ή εγκεκριμένη τελωνειακή μεταχείριση κατά τη γένεση της τελωνειακής οφειλής)</w:t>
      </w:r>
    </w:p>
    <w:p>
      <w:pPr>
        <w:spacing w:before="240" w:after="240"/>
        <w:rPr>
          <w:lang w:val="el" w:eastAsia="el"/>
        </w:rPr>
      </w:pPr>
      <w:r>
        <w:rPr>
          <w:lang w:val="el" w:eastAsia="el"/>
        </w:rPr>
        <w:t xml:space="preserve">Συμπληρωματικά στοιχεία που πρέπει να αναφέρονται σε περιπτώσεις καθεστώτος διαμετακόμισης: </w:t>
      </w:r>
    </w:p>
    <w:p>
      <w:pPr>
        <w:spacing w:before="240" w:after="240"/>
        <w:rPr>
          <w:lang w:val="el" w:eastAsia="el"/>
        </w:rPr>
      </w:pPr>
      <w:r>
        <w:rPr>
          <w:lang w:val="el" w:eastAsia="el"/>
        </w:rPr>
        <w:t xml:space="preserve">— Ημερομηνία(-ες) αποδοχής της δήλωσης διαμετακόμισης </w:t>
      </w:r>
    </w:p>
    <w:p>
      <w:pPr>
        <w:spacing w:before="240" w:after="240"/>
        <w:rPr>
          <w:lang w:val="el" w:eastAsia="el"/>
        </w:rPr>
      </w:pPr>
      <w:r>
        <w:rPr>
          <w:lang w:val="el" w:eastAsia="el"/>
        </w:rPr>
        <w:t xml:space="preserve">— Κράτος(-η) μέλος(-η) αναχώρησης ή εισόδου στην Κοινότητα (κωδικός ISO) </w:t>
      </w:r>
    </w:p>
    <w:p>
      <w:pPr>
        <w:spacing w:before="240" w:after="240"/>
        <w:rPr>
          <w:lang w:val="el" w:eastAsia="el"/>
        </w:rPr>
      </w:pPr>
      <w:r>
        <w:rPr>
          <w:lang w:val="el" w:eastAsia="el"/>
        </w:rPr>
        <w:t xml:space="preserve">— Κράτος(-η) μέλος(-η) προορισμού ή εξόδου από την Κοινότητα (κωδικός ISO) </w:t>
      </w:r>
    </w:p>
    <w:p>
      <w:pPr>
        <w:spacing w:before="240" w:after="240"/>
        <w:rPr>
          <w:lang w:val="el" w:eastAsia="el"/>
        </w:rPr>
      </w:pPr>
      <w:r>
        <w:rPr>
          <w:lang w:val="el" w:eastAsia="el"/>
        </w:rPr>
        <w:t xml:space="preserve">— Αριθμός(-οί) δελτίων TIR </w:t>
      </w:r>
    </w:p>
    <w:p>
      <w:pPr>
        <w:spacing w:before="240" w:after="240"/>
        <w:rPr>
          <w:lang w:val="el" w:eastAsia="el"/>
        </w:rPr>
      </w:pPr>
      <w:r>
        <w:rPr>
          <w:lang w:val="el" w:eastAsia="el"/>
        </w:rPr>
        <w:t xml:space="preserve">Σημειώστε το είδος ελέγχου που οδήγησε στη βεβαίωση της απαίτησης: </w:t>
      </w:r>
    </w:p>
    <w:p>
      <w:pPr>
        <w:spacing w:before="240" w:after="240"/>
        <w:rPr>
          <w:lang w:val="el" w:eastAsia="el"/>
        </w:rPr>
      </w:pPr>
      <w:r>
        <w:rPr>
          <w:lang w:val="el" w:eastAsia="el"/>
        </w:rPr>
        <w:t xml:space="preserve">— Έλεγχοι που δεν έχουν σχέση με την αποδοχή διασάφησης </w:t>
      </w:r>
    </w:p>
    <w:p>
      <w:pPr>
        <w:spacing w:before="240" w:after="240"/>
        <w:rPr>
          <w:lang w:val="el" w:eastAsia="el"/>
        </w:rPr>
      </w:pPr>
      <w:r>
        <w:rPr>
          <w:lang w:val="el" w:eastAsia="el"/>
        </w:rPr>
        <w:t xml:space="preserve">— Έλεγχοι κατά τον εκτελωνισμό, συμπεριλαμβανομένης δειγματοληψίας </w:t>
      </w:r>
    </w:p>
    <w:p>
      <w:pPr>
        <w:spacing w:before="240" w:after="240"/>
        <w:rPr>
          <w:lang w:val="el" w:eastAsia="el"/>
        </w:rPr>
      </w:pPr>
      <w:r>
        <w:rPr>
          <w:lang w:val="el" w:eastAsia="el"/>
        </w:rPr>
        <w:t xml:space="preserve">— Έλεγχοι μετά τον εκτελωνισμό, αλλά πριν από τη λήξη ισχύος του τελωνειακού καθεστώτος </w:t>
      </w:r>
    </w:p>
    <w:p>
      <w:pPr>
        <w:spacing w:before="240" w:after="240"/>
        <w:rPr>
          <w:lang w:val="el" w:eastAsia="el"/>
        </w:rPr>
      </w:pPr>
      <w:r>
        <w:rPr>
          <w:lang w:val="el" w:eastAsia="el"/>
        </w:rPr>
        <w:t xml:space="preserve">— Έλεγχοι μετά τη λήξη ισχύος του τελωνειακού καθεστώτος για τα σχετικά εμπορεύματα </w:t>
      </w:r>
    </w:p>
    <w:p>
      <w:pPr>
        <w:spacing w:before="240" w:after="240"/>
        <w:rPr>
          <w:lang w:val="el" w:eastAsia="el"/>
        </w:rPr>
      </w:pPr>
      <w:r>
        <w:rPr>
          <w:lang w:val="el" w:eastAsia="el"/>
        </w:rPr>
        <w:t xml:space="preserve">— Έλεγχοι μετά τον εκτελωνισμό και τη θέση σε ελεύθερη κυκλοφορία </w:t>
      </w:r>
    </w:p>
    <w:p>
      <w:pPr>
        <w:spacing w:before="240" w:after="240"/>
        <w:rPr>
          <w:lang w:val="el" w:eastAsia="el"/>
        </w:rPr>
      </w:pPr>
      <w:r>
        <w:rPr>
          <w:lang w:val="el" w:eastAsia="el"/>
        </w:rPr>
        <w:t xml:space="preserve">Ημερομηνία(-ίες) λήξης ισχύος που πρέπει να ανακοινωθεί/ούν σε περιπτώσεις τελωνειακών καθεστώτων που συνεπάγονται ρυθμίσεις αναστολής </w:t>
      </w:r>
    </w:p>
    <w:p>
      <w:pPr>
        <w:spacing w:before="240" w:after="240"/>
        <w:rPr>
          <w:lang w:val="el" w:eastAsia="el"/>
        </w:rPr>
      </w:pPr>
      <w:r>
        <w:rPr>
          <w:lang w:val="el" w:eastAsia="el"/>
        </w:rPr>
        <w:t xml:space="preserve">Σύντομη περιγραφή γεγονότων που οδηγούν στη βεβαίωση της απαίτησης </w:t>
      </w:r>
    </w:p>
    <w:p>
      <w:pPr>
        <w:spacing w:before="240" w:after="240"/>
        <w:rPr>
          <w:lang w:val="el" w:eastAsia="el"/>
        </w:rPr>
      </w:pPr>
      <w:r>
        <w:rPr>
          <w:lang w:val="el" w:eastAsia="el"/>
        </w:rPr>
        <w:t>3. ΑΜΟΙΒΑΙΑ ΣΥΝΔΡΟΜΗ</w:t>
      </w:r>
    </w:p>
    <w:p>
      <w:pPr>
        <w:spacing w:before="240" w:after="240"/>
        <w:rPr>
          <w:lang w:val="el" w:eastAsia="el"/>
        </w:rPr>
      </w:pPr>
      <w:r>
        <w:rPr>
          <w:lang w:val="el" w:eastAsia="el"/>
        </w:rPr>
        <w:t xml:space="preserve">Υπόθεση σχετική με αμοιβαία συνδρομή (ΑΣ) κατά την έννοια του κανονισμού (ΕΚ) αριθ. 515/97 του Συμβουλίου ( </w:t>
      </w:r>
      <w:r>
        <w:rPr>
          <w:sz w:val="30"/>
          <w:szCs w:val="30"/>
          <w:vertAlign w:val="superscript"/>
          <w:lang w:val="el" w:eastAsia="el"/>
        </w:rPr>
        <w:t>3</w:t>
      </w:r>
      <w:r>
        <w:rPr>
          <w:lang w:val="el" w:eastAsia="el"/>
        </w:rPr>
        <w:t xml:space="preserve"> που αφορά υπηρεσίες της Επιτροπής (Ναι/Όχι)</w:t>
      </w:r>
    </w:p>
    <w:p>
      <w:pPr>
        <w:spacing w:before="240" w:after="240"/>
        <w:rPr>
          <w:lang w:val="el" w:eastAsia="el"/>
        </w:rPr>
      </w:pPr>
      <w:r>
        <w:rPr>
          <w:lang w:val="el" w:eastAsia="el"/>
        </w:rPr>
        <w:t xml:space="preserve">Αναφορά της κοινοποίησης ΑΣ </w:t>
      </w:r>
    </w:p>
    <w:p>
      <w:pPr>
        <w:spacing w:before="240" w:after="240"/>
        <w:rPr>
          <w:lang w:val="el" w:eastAsia="el"/>
        </w:rPr>
      </w:pPr>
      <w:r>
        <w:rPr>
          <w:lang w:val="el" w:eastAsia="el"/>
        </w:rPr>
        <w:t xml:space="preserve">Ημερομηνία παραλαβής </w:t>
      </w:r>
    </w:p>
    <w:p>
      <w:pPr>
        <w:spacing w:before="240" w:after="240"/>
        <w:rPr>
          <w:lang w:val="el" w:eastAsia="el"/>
        </w:rPr>
      </w:pPr>
      <w:r>
        <w:rPr>
          <w:lang w:val="el" w:eastAsia="el"/>
        </w:rPr>
        <w:t xml:space="preserve">Παρατηρήσεις (προαιρετικό) </w:t>
      </w:r>
    </w:p>
    <w:p>
      <w:pPr>
        <w:spacing w:before="240" w:after="240"/>
        <w:rPr>
          <w:lang w:val="el" w:eastAsia="el"/>
        </w:rPr>
      </w:pPr>
      <w:r>
        <w:rPr>
          <w:lang w:val="el" w:eastAsia="el"/>
        </w:rPr>
        <w:t>4. ΒΕΒΑΙΩΣΗ ΤΗΣ ΑΠΑΙΤΗΣΗΣ</w:t>
      </w:r>
    </w:p>
    <w:p>
      <w:pPr>
        <w:spacing w:before="240" w:after="240"/>
        <w:rPr>
          <w:lang w:val="el" w:eastAsia="el"/>
        </w:rPr>
      </w:pPr>
      <w:r>
        <w:rPr>
          <w:lang w:val="el" w:eastAsia="el"/>
        </w:rPr>
        <w:t xml:space="preserve">Τελωνείο βεβαίωσης </w:t>
      </w:r>
    </w:p>
    <w:p>
      <w:pPr>
        <w:spacing w:before="240" w:after="240"/>
        <w:rPr>
          <w:lang w:val="el" w:eastAsia="el"/>
        </w:rPr>
      </w:pPr>
      <w:r>
        <w:rPr>
          <w:lang w:val="el" w:eastAsia="el"/>
        </w:rPr>
        <w:t xml:space="preserve">Ημερομηνία βεβαίωσης </w:t>
      </w:r>
    </w:p>
    <w:p>
      <w:pPr>
        <w:spacing w:before="240" w:after="240"/>
        <w:rPr>
          <w:lang w:val="el" w:eastAsia="el"/>
        </w:rPr>
      </w:pPr>
      <w:r>
        <w:rPr>
          <w:lang w:val="el" w:eastAsia="el"/>
        </w:rPr>
        <w:t xml:space="preserve">Λογιστική αναφορά της βεβαίωσης (προαιρετικό) </w:t>
      </w:r>
    </w:p>
    <w:p>
      <w:pPr>
        <w:spacing w:before="240" w:after="240"/>
        <w:rPr>
          <w:lang w:val="el" w:eastAsia="el"/>
        </w:rPr>
      </w:pPr>
      <w:r>
        <w:rPr>
          <w:lang w:val="el" w:eastAsia="el"/>
        </w:rPr>
        <w:t xml:space="preserve">Ημερομηνία εγγραφής στη λογιστική Β (άρθρο 6 του κανονισμού (ΕΚ, Ευρατόμ) αριθ. 1150/2000) </w:t>
      </w:r>
    </w:p>
    <w:p>
      <w:pPr>
        <w:spacing w:before="240" w:after="240"/>
        <w:rPr>
          <w:lang w:val="el" w:eastAsia="el"/>
        </w:rPr>
      </w:pPr>
      <w:r>
        <w:rPr>
          <w:lang w:val="el" w:eastAsia="el"/>
        </w:rPr>
        <w:t xml:space="preserve">Λογιστική αναφορά της λογιστικής Β (προαιρετικό) </w:t>
      </w:r>
    </w:p>
    <w:p>
      <w:pPr>
        <w:spacing w:before="240" w:after="240"/>
        <w:rPr>
          <w:lang w:val="el" w:eastAsia="el"/>
        </w:rPr>
      </w:pPr>
      <w:r>
        <w:rPr>
          <w:lang w:val="el" w:eastAsia="el"/>
        </w:rPr>
        <w:t xml:space="preserve">Συνολικό βεβαιωθέν ποσό </w:t>
      </w:r>
    </w:p>
    <w:p>
      <w:pPr>
        <w:spacing w:before="240" w:after="240"/>
        <w:rPr>
          <w:lang w:val="el" w:eastAsia="el"/>
        </w:rPr>
      </w:pPr>
      <w:r>
        <w:rPr>
          <w:lang w:val="el" w:eastAsia="el"/>
        </w:rPr>
        <w:t xml:space="preserve">Ποσό βεβαιωθέντων δασμών και γεωργικών εισφορών, μη συμπεριλαμβανομένων των αντισταθμιστικών δασμών και των δασμών αντιντάμπινγκ </w:t>
      </w:r>
    </w:p>
    <w:p>
      <w:pPr>
        <w:spacing w:before="240" w:after="240"/>
        <w:rPr>
          <w:lang w:val="el" w:eastAsia="el"/>
        </w:rPr>
      </w:pPr>
      <w:r>
        <w:rPr>
          <w:lang w:val="el" w:eastAsia="el"/>
        </w:rPr>
        <w:t xml:space="preserve">Ποσό βεβαιωθέντων αντισταθμιστικών δασμών και δασμών αντιντάμπινγκ </w:t>
      </w:r>
    </w:p>
    <w:p>
      <w:pPr>
        <w:spacing w:before="240" w:after="240"/>
        <w:rPr>
          <w:lang w:val="el" w:eastAsia="el"/>
        </w:rPr>
      </w:pPr>
      <w:r>
        <w:rPr>
          <w:lang w:val="el" w:eastAsia="el"/>
        </w:rPr>
        <w:t xml:space="preserve">Ποσό βεβαιωθεισών εισφορών ζάχαρης και ισογλυκόζης </w:t>
      </w:r>
    </w:p>
    <w:p>
      <w:pPr>
        <w:spacing w:before="240" w:after="240"/>
        <w:rPr>
          <w:lang w:val="el" w:eastAsia="el"/>
        </w:rPr>
      </w:pPr>
      <w:r>
        <w:rPr>
          <w:lang w:val="el" w:eastAsia="el"/>
        </w:rPr>
        <w:t xml:space="preserve">Αντίστοιχο ποσό βεβαιωθέντων εθνικών ειδικών φόρων κατανάλωσης και ΦΠΑ (προαιρετικό) </w:t>
      </w:r>
    </w:p>
    <w:p>
      <w:pPr>
        <w:spacing w:before="240" w:after="240"/>
        <w:rPr>
          <w:lang w:val="el" w:eastAsia="el"/>
        </w:rPr>
      </w:pPr>
      <w:r>
        <w:rPr>
          <w:lang w:val="el" w:eastAsia="el"/>
        </w:rPr>
        <w:t xml:space="preserve">Συνολικό ποσό όπως διορθώθηκε (προσθήκη ή αφαίρεση) μετά την αρχική βεβαίωση </w:t>
      </w:r>
    </w:p>
    <w:p>
      <w:pPr>
        <w:spacing w:before="240" w:after="240"/>
        <w:rPr>
          <w:lang w:val="el" w:eastAsia="el"/>
        </w:rPr>
      </w:pPr>
      <w:r>
        <w:rPr>
          <w:lang w:val="el" w:eastAsia="el"/>
        </w:rPr>
        <w:t xml:space="preserve">Ποσό δασμών και γεωργικών εισφορών όπως διορθώθηκε (προσθήκη ή αφαίρεση) μετά την αρχική βεβαίωση, μη συμπεριλαμβανομένων των αντισταθμιστικών δασμών και των δασμών αντιντάμπινγκ </w:t>
      </w:r>
    </w:p>
    <w:p>
      <w:pPr>
        <w:spacing w:before="240" w:after="240"/>
        <w:rPr>
          <w:lang w:val="el" w:eastAsia="el"/>
        </w:rPr>
      </w:pPr>
      <w:r>
        <w:rPr>
          <w:lang w:val="el" w:eastAsia="el"/>
        </w:rPr>
        <w:t xml:space="preserve">Ποσό αντισταθμιστικών δασμών και δασμών αντιντάμπινγκ όπως διορθώθηκε μετά την αρχική βεβαίωση (προσθήκη ή αφαίρεση) </w:t>
      </w:r>
    </w:p>
    <w:p>
      <w:pPr>
        <w:spacing w:before="240" w:after="240"/>
        <w:rPr>
          <w:lang w:val="el" w:eastAsia="el"/>
        </w:rPr>
      </w:pPr>
      <w:r>
        <w:rPr>
          <w:lang w:val="el" w:eastAsia="el"/>
        </w:rPr>
        <w:t xml:space="preserve">Ποσό εισφορών ζάχαρης/ισογλυκόζης όπως διορθώθηκε (προσθήκη ή αφαίρεση) μετά την αρχική βεβαίωση </w:t>
      </w:r>
    </w:p>
    <w:p>
      <w:pPr>
        <w:spacing w:before="240" w:after="240"/>
        <w:rPr>
          <w:lang w:val="el" w:eastAsia="el"/>
        </w:rPr>
      </w:pPr>
      <w:r>
        <w:rPr>
          <w:lang w:val="el" w:eastAsia="el"/>
        </w:rPr>
        <w:t xml:space="preserve">Αντίστοιχο ποσό των εθνικών ειδικών φόρων κατανάλωσης και ΦΠΑ όπως διορθώθηκε (προσθήκη ή αφαίρεση) μετά την αρχική βεβαίωση (προαιρετικό) </w:t>
      </w:r>
    </w:p>
    <w:p>
      <w:pPr>
        <w:spacing w:before="240" w:after="240"/>
        <w:rPr>
          <w:lang w:val="el" w:eastAsia="el"/>
        </w:rPr>
      </w:pPr>
      <w:r>
        <w:rPr>
          <w:lang w:val="el" w:eastAsia="el"/>
        </w:rPr>
        <w:t xml:space="preserve">Συνολικό ποσό εγγύησης </w:t>
      </w:r>
    </w:p>
    <w:p>
      <w:pPr>
        <w:spacing w:before="240" w:after="240"/>
        <w:rPr>
          <w:lang w:val="el" w:eastAsia="el"/>
        </w:rPr>
      </w:pPr>
      <w:r>
        <w:rPr>
          <w:lang w:val="el" w:eastAsia="el"/>
        </w:rPr>
        <w:t>((Πρόκειται για το ποσό που καλύπτει τους ιδίους πόρους της Κοινότητας και ενδεχομένως τους εθνικούς δασμούς. Μπορεί να ισούται με 0 εάν έχει χορηγηθεί άδεια απαλλαγής ή εάν δεν έχει συσταθεί εγγύηση)</w:t>
      </w:r>
    </w:p>
    <w:p>
      <w:pPr>
        <w:spacing w:before="240" w:after="240"/>
        <w:rPr>
          <w:lang w:val="el" w:eastAsia="el"/>
        </w:rPr>
      </w:pPr>
      <w:r>
        <w:rPr>
          <w:lang w:val="el" w:eastAsia="el"/>
        </w:rPr>
        <w:t xml:space="preserve">Μέρος της εγγύησης που πρέπει να καταλογισθεί στους ίδιους πόρους της Κοινότητας </w:t>
      </w:r>
    </w:p>
    <w:p>
      <w:pPr>
        <w:spacing w:before="240" w:after="240"/>
        <w:rPr>
          <w:lang w:val="el" w:eastAsia="el"/>
        </w:rPr>
      </w:pPr>
      <w:r>
        <w:rPr>
          <w:lang w:val="el" w:eastAsia="el"/>
        </w:rPr>
        <w:t xml:space="preserve">Είδος εγγύησης (υποχρεωτική, προαιρετική, μη προβλεπόμενη) </w:t>
      </w:r>
    </w:p>
    <w:p>
      <w:pPr>
        <w:spacing w:before="240" w:after="240"/>
        <w:rPr>
          <w:lang w:val="el" w:eastAsia="el"/>
        </w:rPr>
      </w:pPr>
      <w:r>
        <w:rPr>
          <w:lang w:val="el" w:eastAsia="el"/>
        </w:rPr>
        <w:t xml:space="preserve">Είδος υποχρεωτικής εγγύησης </w:t>
      </w:r>
    </w:p>
    <w:p>
      <w:pPr>
        <w:spacing w:before="240" w:after="240"/>
        <w:rPr>
          <w:lang w:val="el" w:eastAsia="el"/>
        </w:rPr>
      </w:pPr>
      <w:r>
        <w:rPr>
          <w:lang w:val="el" w:eastAsia="el"/>
        </w:rPr>
        <w:t xml:space="preserve">Λόγος για τον οποίον δεν συστάθηκε προβλεπόμενη εγγύηση </w:t>
      </w:r>
    </w:p>
    <w:p>
      <w:pPr>
        <w:spacing w:before="240" w:after="240"/>
        <w:rPr>
          <w:lang w:val="el" w:eastAsia="el"/>
        </w:rPr>
      </w:pPr>
      <w:r>
        <w:rPr>
          <w:lang w:val="el" w:eastAsia="el"/>
        </w:rPr>
        <w:t xml:space="preserve">Ποσό της εγγύησης που αποδόθηκε στην Κοινότητα </w:t>
      </w:r>
    </w:p>
    <w:p>
      <w:pPr>
        <w:spacing w:before="240" w:after="240"/>
        <w:rPr>
          <w:lang w:val="el" w:eastAsia="el"/>
        </w:rPr>
      </w:pPr>
      <w:r>
        <w:rPr>
          <w:lang w:val="el" w:eastAsia="el"/>
        </w:rPr>
        <w:t xml:space="preserve">Ημερομηνία κατά την οποία αποδόθηκε το ποσό της εγγύησης </w:t>
      </w:r>
    </w:p>
    <w:p>
      <w:pPr>
        <w:spacing w:before="240" w:after="240"/>
        <w:rPr>
          <w:lang w:val="el" w:eastAsia="el"/>
        </w:rPr>
      </w:pPr>
      <w:r>
        <w:rPr>
          <w:lang w:val="el" w:eastAsia="el"/>
        </w:rPr>
        <w:t>5. ΔΙΑΔΙΚΑΣΙΑ ΕΙΣΠΡΑΞΗΣ</w:t>
      </w:r>
    </w:p>
    <w:p>
      <w:pPr>
        <w:spacing w:before="240" w:after="240"/>
        <w:rPr>
          <w:lang w:val="el" w:eastAsia="el"/>
        </w:rPr>
      </w:pPr>
      <w:r>
        <w:rPr>
          <w:lang w:val="el" w:eastAsia="el"/>
        </w:rPr>
        <w:t>(Σε περίπτωση που υπάρχουν διάφοροι οφειλέτες για την ίδια οφειλή, πρέπει να παρασχεθούν οι ακόλουθες πληροφορίες για κάθε οφειλέτη:)</w:t>
      </w:r>
    </w:p>
    <w:p>
      <w:pPr>
        <w:spacing w:before="240" w:after="240"/>
        <w:rPr>
          <w:lang w:val="el" w:eastAsia="el"/>
        </w:rPr>
      </w:pPr>
      <w:r>
        <w:rPr>
          <w:lang w:val="el" w:eastAsia="el"/>
        </w:rPr>
        <w:t xml:space="preserve">Κύριος οφειλέτης ή αλληλέγγυα ευθυνόμενος οφειλέτης </w:t>
      </w:r>
    </w:p>
    <w:p>
      <w:pPr>
        <w:spacing w:before="240" w:after="240"/>
        <w:rPr>
          <w:lang w:val="el" w:eastAsia="el"/>
        </w:rPr>
      </w:pPr>
      <w:r>
        <w:rPr>
          <w:lang w:val="el" w:eastAsia="el"/>
        </w:rPr>
        <w:t xml:space="preserve">Ημερομηνία κοινοποίησης της οφειλής </w:t>
      </w:r>
    </w:p>
    <w:p>
      <w:pPr>
        <w:spacing w:before="240" w:after="240"/>
        <w:rPr>
          <w:lang w:val="el" w:eastAsia="el"/>
        </w:rPr>
      </w:pPr>
      <w:r>
        <w:rPr>
          <w:lang w:val="el" w:eastAsia="el"/>
        </w:rPr>
        <w:t xml:space="preserve">Ημερομηνία(ες) υπενθύμισης πληρωμής </w:t>
      </w:r>
    </w:p>
    <w:p>
      <w:pPr>
        <w:spacing w:before="240" w:after="240"/>
        <w:rPr>
          <w:lang w:val="el" w:eastAsia="el"/>
        </w:rPr>
      </w:pPr>
      <w:r>
        <w:rPr>
          <w:lang w:val="el" w:eastAsia="el"/>
        </w:rPr>
        <w:t>Βεβαίωση υποκείμενη σε διαδικασία προσφυγής κατά την έννοια του άρθρου 243 παράγραφος 1 του κανονισμού (ΕΟΚ) αριθ. 2913/92 (Ναι/Όχι)</w:t>
      </w:r>
    </w:p>
    <w:p>
      <w:pPr>
        <w:spacing w:before="240" w:after="240"/>
        <w:rPr>
          <w:lang w:val="el" w:eastAsia="el"/>
        </w:rPr>
      </w:pPr>
      <w:r>
        <w:rPr>
          <w:lang w:val="el" w:eastAsia="el"/>
        </w:rPr>
        <w:t xml:space="preserve">Στάδια που ολοκληρώθηκαν κατά τη σχετική διαδικασία προσφυγής </w:t>
      </w:r>
    </w:p>
    <w:p>
      <w:pPr>
        <w:spacing w:before="240" w:after="240"/>
        <w:rPr>
          <w:lang w:val="el" w:eastAsia="el"/>
        </w:rPr>
      </w:pPr>
      <w:r>
        <w:rPr>
          <w:lang w:val="el" w:eastAsia="el"/>
        </w:rPr>
        <w:t xml:space="preserve">Ημερομηνία άσκησης της πρώτης προσφυγής </w:t>
      </w:r>
    </w:p>
    <w:p>
      <w:pPr>
        <w:spacing w:before="240" w:after="240"/>
        <w:rPr>
          <w:lang w:val="el" w:eastAsia="el"/>
        </w:rPr>
      </w:pPr>
      <w:r>
        <w:rPr>
          <w:lang w:val="el" w:eastAsia="el"/>
        </w:rPr>
        <w:t xml:space="preserve">Ημερομηνία κοινοποίησης της οριστικής απόφασης </w:t>
      </w:r>
    </w:p>
    <w:p>
      <w:pPr>
        <w:spacing w:before="240" w:after="240"/>
        <w:rPr>
          <w:lang w:val="el" w:eastAsia="el"/>
        </w:rPr>
      </w:pPr>
      <w:r>
        <w:rPr>
          <w:lang w:val="el" w:eastAsia="el"/>
        </w:rPr>
        <w:t xml:space="preserve">Παρατηρήσεις (προαιρετικό) </w:t>
      </w:r>
    </w:p>
    <w:p>
      <w:pPr>
        <w:spacing w:before="240" w:after="240"/>
        <w:rPr>
          <w:lang w:val="el" w:eastAsia="el"/>
        </w:rPr>
      </w:pPr>
      <w:r>
        <w:rPr>
          <w:lang w:val="el" w:eastAsia="el"/>
        </w:rPr>
        <w:t>Αναστολή εκτέλεσης κατά την έννοια των άρθρων 222 και 244 του κανονισμού (ΕΟΚ) αριθ. 2913/92 και 876α του κανονισμού (ΕΟΚ) αριθ. 2454/93 (</w:t>
      </w:r>
      <w:r>
        <w:rPr>
          <w:sz w:val="30"/>
          <w:szCs w:val="30"/>
          <w:vertAlign w:val="superscript"/>
          <w:lang w:val="el" w:eastAsia="el"/>
        </w:rPr>
        <w:t>4</w:t>
      </w:r>
      <w:r>
        <w:rPr>
          <w:lang w:val="el" w:eastAsia="el"/>
        </w:rPr>
        <w:t>) (Ναι/Όχι)</w:t>
      </w:r>
    </w:p>
    <w:p>
      <w:pPr>
        <w:spacing w:before="240" w:after="240"/>
        <w:rPr>
          <w:lang w:val="el" w:eastAsia="el"/>
        </w:rPr>
      </w:pPr>
      <w:r>
        <w:rPr>
          <w:lang w:val="el" w:eastAsia="el"/>
        </w:rPr>
        <w:t>Σύσταση εγγύησης για αναστολή (Ναι/Όχι)</w:t>
      </w:r>
    </w:p>
    <w:p>
      <w:pPr>
        <w:spacing w:before="240" w:after="240"/>
        <w:rPr>
          <w:lang w:val="el" w:eastAsia="el"/>
        </w:rPr>
      </w:pPr>
      <w:r>
        <w:rPr>
          <w:lang w:val="el" w:eastAsia="el"/>
        </w:rPr>
        <w:t xml:space="preserve">Ποσό εγγύησης για αναστολή </w:t>
      </w:r>
    </w:p>
    <w:p>
      <w:pPr>
        <w:spacing w:before="240" w:after="240"/>
        <w:rPr>
          <w:lang w:val="el" w:eastAsia="el"/>
        </w:rPr>
      </w:pPr>
      <w:r>
        <w:rPr>
          <w:lang w:val="el" w:eastAsia="el"/>
        </w:rPr>
        <w:t xml:space="preserve">Λόγοι για τους οποίους δεν συστάθηκε εγγύηση για αναστολή </w:t>
      </w:r>
    </w:p>
    <w:p>
      <w:pPr>
        <w:spacing w:before="240" w:after="240"/>
        <w:rPr>
          <w:lang w:val="el" w:eastAsia="el"/>
        </w:rPr>
      </w:pPr>
      <w:r>
        <w:rPr>
          <w:lang w:val="el" w:eastAsia="el"/>
        </w:rPr>
        <w:t>(Τα κράτη μέλη πρέπει να προσδιορίσουν κατά πόσο η απαλλαγή από εγγύηση οφείλεται ή όχι σε προβλεπόμενες οικονομικές και κοινωνικές δυσχέρειες και τους λόγους στους οποίους στηρίζεται η απόφαση αυτή)</w:t>
      </w:r>
    </w:p>
    <w:p>
      <w:pPr>
        <w:spacing w:before="240" w:after="240"/>
        <w:rPr>
          <w:lang w:val="el" w:eastAsia="el"/>
        </w:rPr>
      </w:pPr>
      <w:r>
        <w:rPr>
          <w:lang w:val="el" w:eastAsia="el"/>
        </w:rPr>
        <w:t>Διευκολύνσεις πληρωμής κατά την έννοια του άρθρου 229 του κανονισμού (ΕΟΚ) αριθ. 2913/92 (μη υποβολή αίτησης/ απόρριψη αίτησης/αποδοχή αίτησης)</w:t>
      </w:r>
    </w:p>
    <w:p>
      <w:pPr>
        <w:spacing w:before="240" w:after="240"/>
        <w:rPr>
          <w:lang w:val="el" w:eastAsia="el"/>
        </w:rPr>
      </w:pPr>
      <w:r>
        <w:rPr>
          <w:lang w:val="el" w:eastAsia="el"/>
        </w:rPr>
        <w:t xml:space="preserve">Περιγραφή των όρων για τις διευκολύνσεις πληρωμής </w:t>
      </w:r>
    </w:p>
    <w:p>
      <w:pPr>
        <w:spacing w:before="240" w:after="240"/>
        <w:rPr>
          <w:lang w:val="el" w:eastAsia="el"/>
        </w:rPr>
      </w:pPr>
      <w:r>
        <w:rPr>
          <w:lang w:val="el" w:eastAsia="el"/>
        </w:rPr>
        <w:t>Σύσταση εγγύησης σύμφωνα με τους κανόνες για τις διευκολύνσεις πληρωμής (Ναι/Όχι)</w:t>
      </w:r>
    </w:p>
    <w:p>
      <w:pPr>
        <w:spacing w:before="240" w:after="240"/>
        <w:rPr>
          <w:lang w:val="el" w:eastAsia="el"/>
        </w:rPr>
      </w:pPr>
      <w:r>
        <w:rPr>
          <w:lang w:val="el" w:eastAsia="el"/>
        </w:rPr>
        <w:t xml:space="preserve">Ποσό εγγύησης σύμφωνα με τις διευκολύνσεις πληρωμής </w:t>
      </w:r>
    </w:p>
    <w:p>
      <w:pPr>
        <w:spacing w:before="240" w:after="240"/>
        <w:rPr>
          <w:lang w:val="el" w:eastAsia="el"/>
        </w:rPr>
      </w:pPr>
      <w:r>
        <w:rPr>
          <w:lang w:val="el" w:eastAsia="el"/>
        </w:rPr>
        <w:t xml:space="preserve">Λόγος για τον οποίον δεν συστάθηκε εγγύηση για διευκολύνσεις πληρωμής </w:t>
      </w:r>
    </w:p>
    <w:p>
      <w:pPr>
        <w:spacing w:before="240" w:after="240"/>
        <w:rPr>
          <w:lang w:val="el" w:eastAsia="el"/>
        </w:rPr>
      </w:pPr>
      <w:r>
        <w:rPr>
          <w:lang w:val="el" w:eastAsia="el"/>
        </w:rPr>
        <w:t>Τα κράτη μέλη πρέπει να προσδιορίσουν κατά πόσο η απαλλαγή από εγγύηση οφείλεται ή όχι σε προβλεπόμενες οικονομικές και κοινωνικές δυσχέρειες καθώς και τους λόγους στους οποίους στηρίζεται η απόφαση αυτή</w:t>
      </w:r>
    </w:p>
    <w:p>
      <w:pPr>
        <w:spacing w:before="240" w:after="240"/>
        <w:rPr>
          <w:lang w:val="el" w:eastAsia="el"/>
        </w:rPr>
      </w:pPr>
      <w:r>
        <w:rPr>
          <w:lang w:val="el" w:eastAsia="el"/>
        </w:rPr>
        <w:t xml:space="preserve">Ημερομηνία έκδοσης εκτελεστού τίτλου </w:t>
      </w:r>
    </w:p>
    <w:p>
      <w:pPr>
        <w:spacing w:before="240" w:after="240"/>
        <w:rPr>
          <w:lang w:val="el" w:eastAsia="el"/>
        </w:rPr>
      </w:pPr>
      <w:r>
        <w:rPr>
          <w:lang w:val="el" w:eastAsia="el"/>
        </w:rPr>
        <w:t>Κοινοποίηση εκτελεστού τίτλου (Ναι/Όχι)</w:t>
      </w:r>
    </w:p>
    <w:p>
      <w:pPr>
        <w:spacing w:before="240" w:after="240"/>
        <w:rPr>
          <w:lang w:val="el" w:eastAsia="el"/>
        </w:rPr>
      </w:pPr>
      <w:r>
        <w:rPr>
          <w:lang w:val="el" w:eastAsia="el"/>
        </w:rPr>
        <w:t xml:space="preserve">Ημερομηνία κοινοποίησης εκτελεστού τίτλου </w:t>
      </w:r>
    </w:p>
    <w:p>
      <w:pPr>
        <w:spacing w:before="240" w:after="240"/>
        <w:rPr>
          <w:lang w:val="el" w:eastAsia="el"/>
        </w:rPr>
      </w:pPr>
      <w:r>
        <w:rPr>
          <w:lang w:val="el" w:eastAsia="el"/>
        </w:rPr>
        <w:t xml:space="preserve">Παρατηρήσεις σχετικά με τον εκτελεστό τίτλο (προαιρετικό) </w:t>
      </w:r>
    </w:p>
    <w:p>
      <w:pPr>
        <w:spacing w:before="240" w:after="240"/>
        <w:rPr>
          <w:lang w:val="el" w:eastAsia="el"/>
        </w:rPr>
      </w:pPr>
      <w:r>
        <w:rPr>
          <w:lang w:val="el" w:eastAsia="el"/>
        </w:rPr>
        <w:t xml:space="preserve">Ημερομηνία πρώτης πληρωμής </w:t>
      </w:r>
    </w:p>
    <w:p>
      <w:pPr>
        <w:spacing w:before="240" w:after="240"/>
        <w:rPr>
          <w:lang w:val="el" w:eastAsia="el"/>
        </w:rPr>
      </w:pPr>
      <w:r>
        <w:rPr>
          <w:lang w:val="el" w:eastAsia="el"/>
        </w:rPr>
        <w:t xml:space="preserve">Ποσό πρώτης πληρωμής </w:t>
      </w:r>
    </w:p>
    <w:p>
      <w:pPr>
        <w:spacing w:before="240" w:after="240"/>
        <w:rPr>
          <w:lang w:val="el" w:eastAsia="el"/>
        </w:rPr>
      </w:pPr>
      <w:r>
        <w:rPr>
          <w:lang w:val="el" w:eastAsia="el"/>
        </w:rPr>
        <w:t xml:space="preserve">Ημερομηνία τελευταίας πληρωμής </w:t>
      </w:r>
    </w:p>
    <w:p>
      <w:pPr>
        <w:spacing w:before="240" w:after="240"/>
        <w:rPr>
          <w:lang w:val="el" w:eastAsia="el"/>
        </w:rPr>
      </w:pPr>
      <w:r>
        <w:rPr>
          <w:lang w:val="el" w:eastAsia="el"/>
        </w:rPr>
        <w:t xml:space="preserve">Ποσό τελευταίας πληρωμής </w:t>
      </w:r>
    </w:p>
    <w:p>
      <w:pPr>
        <w:spacing w:before="240" w:after="240"/>
        <w:rPr>
          <w:lang w:val="el" w:eastAsia="el"/>
        </w:rPr>
      </w:pPr>
      <w:r>
        <w:rPr>
          <w:lang w:val="el" w:eastAsia="el"/>
        </w:rPr>
        <w:t xml:space="preserve">Σύνολο καταβληθέντος ποσού </w:t>
      </w:r>
    </w:p>
    <w:p>
      <w:pPr>
        <w:spacing w:before="240" w:after="240"/>
        <w:rPr>
          <w:lang w:val="el" w:eastAsia="el"/>
        </w:rPr>
      </w:pPr>
      <w:r>
        <w:rPr>
          <w:lang w:val="el" w:eastAsia="el"/>
        </w:rPr>
        <w:t xml:space="preserve">Ημερομηνία(ες) κατασχέσεων </w:t>
      </w:r>
    </w:p>
    <w:p>
      <w:pPr>
        <w:spacing w:before="240" w:after="240"/>
        <w:rPr>
          <w:lang w:val="el" w:eastAsia="el"/>
        </w:rPr>
      </w:pPr>
      <w:r>
        <w:rPr>
          <w:lang w:val="el" w:eastAsia="el"/>
        </w:rPr>
        <w:t xml:space="preserve">Ποσό που προέκυψε από κατάσχεση </w:t>
      </w:r>
    </w:p>
    <w:p>
      <w:pPr>
        <w:spacing w:before="240" w:after="240"/>
        <w:rPr>
          <w:lang w:val="el" w:eastAsia="el"/>
        </w:rPr>
      </w:pPr>
      <w:r>
        <w:rPr>
          <w:lang w:val="el" w:eastAsia="el"/>
        </w:rPr>
        <w:t xml:space="preserve">Παρατηρήσεις σχετικά με την κατάσχεση (προαιρετικό) </w:t>
      </w:r>
    </w:p>
    <w:p>
      <w:pPr>
        <w:spacing w:before="240" w:after="240"/>
        <w:rPr>
          <w:lang w:val="el" w:eastAsia="el"/>
        </w:rPr>
      </w:pPr>
      <w:r>
        <w:rPr>
          <w:lang w:val="el" w:eastAsia="el"/>
        </w:rPr>
        <w:t xml:space="preserve">Ημερομηνία έναρξης διαδικασίας πτώχευσης/εκκαθάρισης/αφερεγγυότητας </w:t>
      </w:r>
    </w:p>
    <w:p>
      <w:pPr>
        <w:spacing w:before="240" w:after="240"/>
        <w:rPr>
          <w:lang w:val="el" w:eastAsia="el"/>
        </w:rPr>
      </w:pPr>
      <w:r>
        <w:rPr>
          <w:lang w:val="el" w:eastAsia="el"/>
        </w:rPr>
        <w:t xml:space="preserve">Ημερομηνία αναγγελίας της απαίτησης στο πλαίσιο της διαδικασίας </w:t>
      </w:r>
    </w:p>
    <w:p>
      <w:pPr>
        <w:spacing w:before="240" w:after="240"/>
        <w:rPr>
          <w:lang w:val="el" w:eastAsia="el"/>
        </w:rPr>
      </w:pPr>
      <w:r>
        <w:rPr>
          <w:lang w:val="el" w:eastAsia="el"/>
        </w:rPr>
        <w:t xml:space="preserve">Ημερομηνία περάτωσης διαδικασίας πτώχευσης/εκκαθάρισης/αφερεγγυότητας </w:t>
      </w:r>
    </w:p>
    <w:p>
      <w:pPr>
        <w:spacing w:before="240" w:after="240"/>
        <w:rPr>
          <w:lang w:val="el" w:eastAsia="el"/>
        </w:rPr>
      </w:pPr>
      <w:r>
        <w:rPr>
          <w:lang w:val="el" w:eastAsia="el"/>
        </w:rPr>
        <w:t xml:space="preserve">Εισπραχθέν ποσό ιδίων πόρων από διαδικασία πτώχευσης/εκκαθάρισης </w:t>
      </w:r>
    </w:p>
    <w:p>
      <w:pPr>
        <w:spacing w:before="240" w:after="240"/>
        <w:rPr>
          <w:lang w:val="el" w:eastAsia="el"/>
        </w:rPr>
      </w:pPr>
      <w:r>
        <w:rPr>
          <w:lang w:val="el" w:eastAsia="el"/>
        </w:rPr>
        <w:t>Αμοιβαία συνδρομή στον τομέα της είσπραξης από άλλα κράτη μέλη [οδηγία 2008/55/ΕΚ του Συμβουλίου (</w:t>
      </w:r>
      <w:r>
        <w:rPr>
          <w:sz w:val="30"/>
          <w:szCs w:val="30"/>
          <w:vertAlign w:val="superscript"/>
          <w:lang w:val="el" w:eastAsia="el"/>
        </w:rPr>
        <w:t>5</w:t>
      </w:r>
      <w:r>
        <w:rPr>
          <w:lang w:val="el" w:eastAsia="el"/>
        </w:rPr>
        <w:t>) ή οδηγία 76/308/ΕΟΚ του Συμβουλίου (</w:t>
      </w:r>
      <w:r>
        <w:rPr>
          <w:sz w:val="30"/>
          <w:szCs w:val="30"/>
          <w:vertAlign w:val="superscript"/>
          <w:lang w:val="el" w:eastAsia="el"/>
        </w:rPr>
        <w:t>6</w:t>
      </w:r>
      <w:r>
        <w:rPr>
          <w:lang w:val="el" w:eastAsia="el"/>
        </w:rPr>
        <w:t>)] (Ναι/Όχι)</w:t>
      </w:r>
    </w:p>
    <w:p>
      <w:pPr>
        <w:spacing w:before="240" w:after="240"/>
        <w:rPr>
          <w:lang w:val="el" w:eastAsia="el"/>
        </w:rPr>
      </w:pPr>
      <w:r>
        <w:rPr>
          <w:lang w:val="el" w:eastAsia="el"/>
        </w:rPr>
        <w:t xml:space="preserve">Αναφορά αμοιβαίας συνδρομής στον τομέα της είσπραξης </w:t>
      </w:r>
    </w:p>
    <w:p>
      <w:pPr>
        <w:spacing w:before="240" w:after="240"/>
        <w:rPr>
          <w:lang w:val="el" w:eastAsia="el"/>
        </w:rPr>
      </w:pPr>
      <w:r>
        <w:rPr>
          <w:lang w:val="el" w:eastAsia="el"/>
        </w:rPr>
        <w:t xml:space="preserve">Κράτος μέλος προς το οποίο απευθύνεται το αίτημα </w:t>
      </w:r>
    </w:p>
    <w:p>
      <w:pPr>
        <w:spacing w:before="240" w:after="240"/>
        <w:rPr>
          <w:lang w:val="el" w:eastAsia="el"/>
        </w:rPr>
      </w:pPr>
      <w:r>
        <w:rPr>
          <w:lang w:val="el" w:eastAsia="el"/>
        </w:rPr>
        <w:t xml:space="preserve">Ημερομηνία του αιτήματος </w:t>
      </w:r>
    </w:p>
    <w:p>
      <w:pPr>
        <w:spacing w:before="240" w:after="240"/>
        <w:rPr>
          <w:lang w:val="el" w:eastAsia="el"/>
        </w:rPr>
      </w:pPr>
      <w:r>
        <w:rPr>
          <w:lang w:val="el" w:eastAsia="el"/>
        </w:rPr>
        <w:t xml:space="preserve">Εισπραχθέν ποσό </w:t>
      </w:r>
    </w:p>
    <w:p>
      <w:pPr>
        <w:spacing w:before="240" w:after="240"/>
        <w:rPr>
          <w:lang w:val="el" w:eastAsia="el"/>
        </w:rPr>
      </w:pPr>
      <w:r>
        <w:rPr>
          <w:lang w:val="el" w:eastAsia="el"/>
        </w:rPr>
        <w:t xml:space="preserve">Ημερομηνία απάντησης </w:t>
      </w:r>
    </w:p>
    <w:p>
      <w:pPr>
        <w:spacing w:before="240" w:after="240"/>
        <w:rPr>
          <w:lang w:val="el" w:eastAsia="el"/>
        </w:rPr>
      </w:pPr>
      <w:r>
        <w:rPr>
          <w:lang w:val="el" w:eastAsia="el"/>
        </w:rPr>
        <w:t xml:space="preserve">Παρατηρήσεις σχετικά με την απάντηση (ιδιαίτερα εάν το κράτος μέλος προς το οποίο απευθύνεται το αίτημα δεν ανταπο- κρίθηκε σ’ αυτό) </w:t>
      </w:r>
    </w:p>
    <w:p>
      <w:pPr>
        <w:spacing w:before="240" w:after="240"/>
        <w:rPr>
          <w:lang w:val="el" w:eastAsia="el"/>
        </w:rPr>
      </w:pPr>
      <w:r>
        <w:rPr>
          <w:lang w:val="el" w:eastAsia="el"/>
        </w:rPr>
        <w:t>6. ΛΟΓΟΙ ΓΙΑ ΤΟΥΣ ΟΠΟΙΟΥΣ Η ΕΙΣΠΡΑΞΗ ΤΟΥ ΥΠΟΛΟΙΠΟΥ ΠΟΣΟΥ ΑΠΟΔΕΙΧΘΗΚΕ ΑΔΥΝΑΤΗ</w:t>
      </w:r>
    </w:p>
    <w:p>
      <w:pPr>
        <w:spacing w:before="240" w:after="240"/>
        <w:rPr>
          <w:lang w:val="el" w:eastAsia="el"/>
        </w:rPr>
      </w:pPr>
      <w:r>
        <w:rPr>
          <w:lang w:val="el" w:eastAsia="el"/>
        </w:rPr>
        <w:t>(Σε αυτό το τμήμα τα κράτη μέλη πρέπει να σημειώνουν σαφώς, για παράδειγμα, όλα τα συγκεκριμένα μέτρα εκτέλεσης που λήφθηκαν και τους λόγους για τους οποίους, σε περιπτώσεις διαδικασίας πτώχευσης/εκκαθάρισης/αφερεγγυότητας, το εισπραχθέν ποσό δεν ήταν αρκετό για να καλύψει την οφειλή ή το λόγο για τον οποίο το εν λόγω ποσό καλύπτει μόνο μέρος της οφειλής.)</w:t>
      </w:r>
    </w:p>
    <w:p>
      <w:pPr>
        <w:spacing w:before="240" w:after="240"/>
        <w:rPr>
          <w:lang w:val="el" w:eastAsia="el"/>
        </w:rPr>
      </w:pPr>
      <w:r>
        <w:rPr>
          <w:lang w:val="el" w:eastAsia="el"/>
        </w:rPr>
        <w:t>(Τα κράτη μέλη δεν χρειάζεται να παράσχουν τις πληροφορίες που ανέφεραν ήδη βάσει των σημείων 1 έως 5.)</w:t>
      </w:r>
    </w:p>
    <w:p>
      <w:pPr>
        <w:spacing w:before="240" w:after="240"/>
        <w:rPr>
          <w:lang w:val="el" w:eastAsia="el"/>
        </w:rPr>
      </w:pPr>
      <w:r>
        <w:rPr>
          <w:lang w:val="el" w:eastAsia="el"/>
        </w:rPr>
        <w:t>7. ΑΛΛΕΣ ΧΡΗΣΙΜΕΣ ΠΛΗΡΟΦΟΡΙΕΣ</w:t>
      </w:r>
    </w:p>
    <w:p>
      <w:pPr>
        <w:spacing w:before="240" w:after="240"/>
        <w:rPr>
          <w:lang w:val="el" w:eastAsia="el"/>
        </w:rPr>
      </w:pPr>
      <w:r>
        <w:rPr>
          <w:lang w:val="el" w:eastAsia="el"/>
        </w:rPr>
        <w:t>(5) ΕΕ L 150 της 10.6.2008, σ. 28.</w:t>
      </w:r>
    </w:p>
    <w:p>
      <w:pPr>
        <w:spacing w:before="240" w:after="240"/>
        <w:rPr>
          <w:lang w:val="el" w:eastAsia="el"/>
        </w:rPr>
      </w:pPr>
      <w:r>
        <w:rPr>
          <w:lang w:val="el" w:eastAsia="el"/>
        </w:rPr>
        <w:t>(6) ΕΕ L 73 της 19.3.1976, σ. 18.»</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