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2/72081/0022</w:t>
      </w:r>
    </w:p>
    <w:p>
      <w:pPr>
        <w:spacing w:before="240" w:after="240"/>
        <w:rPr>
          <w:lang w:val="el" w:eastAsia="el"/>
        </w:rPr>
      </w:pPr>
      <w:r>
        <w:rPr>
          <w:lang w:val="el" w:eastAsia="el"/>
        </w:rPr>
        <w:t>Ρύθμιση του κινήτρου παραγωγικότητας των υπαλλή-λων του Υπουργείου Ανάπτυξης.</w:t>
      </w:r>
    </w:p>
    <w:p>
      <w:pPr>
        <w:spacing w:before="240" w:after="240"/>
        <w:rPr>
          <w:lang w:val="el" w:eastAsia="el"/>
        </w:rPr>
      </w:pPr>
      <w:r>
        <w:rPr>
          <w:b/>
          <w:bCs/>
          <w:lang w:val="el" w:eastAsia="el"/>
        </w:rPr>
        <w:t>Ο ΥΦΥΠΟΥΡΓΟΣ ΟΙΚΟΝΟΜΙΑΣ ΚΑΙΟΙΚΟΝΟΜΙΚΩΝ</w:t>
      </w:r>
    </w:p>
    <w:p>
      <w:pPr>
        <w:spacing w:before="240" w:after="240"/>
        <w:rPr>
          <w:lang w:val="el" w:eastAsia="el"/>
        </w:rPr>
      </w:pPr>
      <w:r>
        <w:rPr>
          <w:lang w:val="el" w:eastAsia="el"/>
        </w:rPr>
        <w:t>Έχοντας υπόψη τις διατάξεις:</w:t>
      </w:r>
    </w:p>
    <w:p>
      <w:pPr>
        <w:spacing w:before="240" w:after="240"/>
        <w:rPr>
          <w:lang w:val="el" w:eastAsia="el"/>
        </w:rPr>
      </w:pPr>
      <w:r>
        <w:rPr>
          <w:lang w:val="el" w:eastAsia="el"/>
        </w:rPr>
        <w:t>1. Τις διατάξεις του άρθρου 2 του ν. 3697/2008 «Ενίσχυση της διαφάνειας του Κρατικού Προϋπολογισμού, έλεγχος των δημοσίων δαπανών, μέτρα φορολογικής δικαιοσύνης και άλλες διατάξεις».</w:t>
      </w:r>
    </w:p>
    <w:p>
      <w:pPr>
        <w:spacing w:before="240" w:after="240"/>
        <w:rPr>
          <w:lang w:val="el" w:eastAsia="el"/>
        </w:rPr>
      </w:pPr>
      <w:r>
        <w:rPr>
          <w:lang w:val="el" w:eastAsia="el"/>
        </w:rPr>
        <w:t>2. Τις διατάξεις του άρθρου 14 του ν.2289/1995 (ΦΕΚ 27 Α’) του άρθρου 19 του ν. 3054/2002 «οργάνωση της αγοράς πετρελαιοειδών και άλλες διατάξεις» (ΦΕΚ 230/ Α/2.10.2002) και των άρθρων 11 και 15 του ν. 3335/2005 έλεγχος της διακίνησης και αποθήκευσης πετρελαιοειδών προϊόντων ρύθμιση θεμάτων Υπουργείου Ανάπτυξης (ΦΕΚ 95/Α/20.4.2005).</w:t>
      </w:r>
    </w:p>
    <w:p>
      <w:pPr>
        <w:spacing w:before="240" w:after="240"/>
        <w:rPr>
          <w:lang w:val="el" w:eastAsia="el"/>
        </w:rPr>
      </w:pPr>
      <w:r>
        <w:rPr>
          <w:lang w:val="el" w:eastAsia="el"/>
        </w:rPr>
        <w:t>3. Του ν. 2738/1999 (ΦΕΚ 180/Α) και του ν. 2910/2001 (ΦΕΚ 91 Α).</w:t>
      </w:r>
    </w:p>
    <w:p>
      <w:pPr>
        <w:spacing w:before="240" w:after="240"/>
        <w:rPr>
          <w:lang w:val="el" w:eastAsia="el"/>
        </w:rPr>
      </w:pPr>
      <w:r>
        <w:rPr>
          <w:lang w:val="el" w:eastAsia="el"/>
        </w:rPr>
        <w:t>4. Των άρθρων 14 και 40 του ν. 3016/2002 «Για την Εταιρική Διακυβέρνηση, θέματα μισθολογίου και άλλες διατάξεις» (ΦΕΚ 110/Α/2002).</w:t>
      </w:r>
    </w:p>
    <w:p>
      <w:pPr>
        <w:spacing w:before="240" w:after="240"/>
        <w:rPr>
          <w:lang w:val="el" w:eastAsia="el"/>
        </w:rPr>
      </w:pPr>
      <w:r>
        <w:rPr>
          <w:lang w:val="el" w:eastAsia="el"/>
        </w:rPr>
        <w:t>5. Του άρθρου 40 του ν. 849/1978 (ΦΕΚ 232/Α) όπως τροποποιήθηκε με το άρθρο 8 του ν. 2129/1993 (ΦΕΚ 57/1).</w:t>
      </w:r>
    </w:p>
    <w:p>
      <w:pPr>
        <w:spacing w:before="240" w:after="240"/>
        <w:rPr>
          <w:lang w:val="el" w:eastAsia="el"/>
        </w:rPr>
      </w:pPr>
      <w:r>
        <w:rPr>
          <w:lang w:val="el" w:eastAsia="el"/>
        </w:rPr>
        <w:t>6. Της υπ’ αριθμ. 2/87720/0022/22.12.2000 κοινής απόφασης των Υπουργών Ανάπτυξης και Οικονομικών.</w:t>
      </w:r>
    </w:p>
    <w:p>
      <w:pPr>
        <w:spacing w:before="240" w:after="240"/>
        <w:rPr>
          <w:lang w:val="el" w:eastAsia="el"/>
        </w:rPr>
      </w:pPr>
      <w:r>
        <w:rPr>
          <w:lang w:val="el" w:eastAsia="el"/>
        </w:rPr>
        <w:t>7. Της υπ’ αριθμ. 2/25908/0022/2.6.2008 κοινής απόφασης των Υπουργών Οικονομίας και Οικονομικών και Ανάπτυξης «Τροποποίηση της υπ’ αριθμ. 2/27364/0022/8.5.2007 κοινής απόφασης των Υπουργών Οικονομίας και Οικονομικών και Ανάπτυξης, όπως ισχύει σήμερα». (ΦΕΚ 1071/Β/10.6.2008).</w:t>
      </w:r>
    </w:p>
    <w:p>
      <w:pPr>
        <w:spacing w:before="240" w:after="240"/>
        <w:rPr>
          <w:lang w:val="el" w:eastAsia="el"/>
        </w:rPr>
      </w:pPr>
      <w:r>
        <w:rPr>
          <w:lang w:val="el" w:eastAsia="el"/>
        </w:rPr>
        <w:t>8. Της κοινής απόφασης του Πρωθυπουργού και του Υπουργού Οικονομίας και Οικονομικών υπ’ αριθμ. 1666/ ΔΙΟΕ 89/13.1.2009 (ΦΕΚ Β/40) «καθορισμός αρμοδιοτήτων των Υφυπουργών Οικονομίας και Οικονομικών».</w:t>
      </w:r>
    </w:p>
    <w:p>
      <w:pPr>
        <w:spacing w:before="240" w:after="240"/>
        <w:rPr>
          <w:lang w:val="el" w:eastAsia="el"/>
        </w:rPr>
      </w:pPr>
      <w:r>
        <w:rPr>
          <w:lang w:val="el" w:eastAsia="el"/>
        </w:rPr>
        <w:t>9. Το γεγονός ότι από τις διατάξεις της παρούσας απόφασης δεν προκαλείται νέα δαπάνη σε βάρος του κρατικού προϋπολογισμού, ΚΑΕ 0579, αποφασίζουμε:</w:t>
      </w:r>
    </w:p>
    <w:p>
      <w:pPr>
        <w:spacing w:before="240" w:after="240"/>
        <w:rPr>
          <w:lang w:val="el" w:eastAsia="el"/>
        </w:rPr>
      </w:pPr>
      <w:r>
        <w:rPr>
          <w:lang w:val="el" w:eastAsia="el"/>
        </w:rPr>
        <w:t>Ι. Κατ’ εφαρμογή των διατάξεων του άρθρου 2 του ν. 3697/2008 (ΦΕΚ 194/Α/25.9.2008) ο Ειδικός Λογαριασμός του άρθρου 14 του ν. 2289/1995, του άρθρου 19 του ν. 3054/2002 και των άρθρων 11 και 15 του ν. 3335/2005 καταργείται και οι προβλεπόμενοι από αυτόν πόροι αποτελούν πλέον έσοδο του Ελληνικού Δημοσίου, ενώ η δαπάνη για την πληρωμή του κινήτρου παραγωγικότητας των δικαιούχων υπαλλήλων βαρύνει πλέον τον Κρατικό Προϋπολογισμό και συγκεκριμένα τον ΚΑΕ 0579 «Λοιπές παροχές και επιδόματα καταργηθέντων με το ν. 3697/2008 ειδικών λογαριασμών».</w:t>
      </w:r>
    </w:p>
    <w:p>
      <w:pPr>
        <w:spacing w:before="240" w:after="240"/>
        <w:rPr>
          <w:lang w:val="el" w:eastAsia="el"/>
        </w:rPr>
      </w:pPr>
      <w:r>
        <w:rPr>
          <w:lang w:val="el" w:eastAsia="el"/>
        </w:rPr>
        <w:t>2. Η πληρωμή του κινήτρου παραγωγικότητας, που προβλέπεται από την απόφαση της παραγράφου 4 της παρούσας, γίνεται μέσω του κρατικού προϋπολογισμού και καταβάλλεται την 27η κάθε μήνα με μισθοδοτικές καταστάσεις για τους υπαλλήλους του οικείου Υπουργείου και την 27η κάθε δεύτερου μήνα για τους μεταταγέντες υπαλλήλους στις Ν.Α. και εξοφλούνται με πίστωση των λογαριασμών των δικαιούχων δια του διατραπεζικού συστήματος ΔΙΑΣ, σύμφωνα με τις διατάξεις του ν. 2303/1995 και την υπ’ αριθμ. 2041609/1011/0022/1997 απόφασή μας ή μέσω Δ.Ο.Υ. με μέριμνα των καθ’ ύλη αρμόδιων Υπηρεσιών.</w:t>
      </w:r>
    </w:p>
    <w:p>
      <w:pPr>
        <w:spacing w:before="240" w:after="240"/>
        <w:rPr>
          <w:lang w:val="el" w:eastAsia="el"/>
        </w:rPr>
      </w:pPr>
      <w:r>
        <w:rPr>
          <w:lang w:val="el" w:eastAsia="el"/>
        </w:rPr>
        <w:t>Για το σκοπό αυτό οι προϊστάμενοι των αρμοδίων Υπηρεσιών οφείλουν αμέσως και εντός του πρώτου πενθημέρου μετά τη λήξη του μήνα να γνωστοποιούν όλες τις μεταβολές που επηρεάζουν θετικά ή αρνητικά την καταβολή της αποζημίωσης.</w:t>
      </w:r>
    </w:p>
    <w:p>
      <w:pPr>
        <w:spacing w:before="240" w:after="240"/>
        <w:rPr>
          <w:lang w:val="el" w:eastAsia="el"/>
        </w:rPr>
      </w:pPr>
      <w:r>
        <w:rPr>
          <w:lang w:val="el" w:eastAsia="el"/>
        </w:rPr>
        <w:t>3. Για την πληρωμή μέσω ΔΙΑΣ αποστέλλονται στη Δ24 του Γ.Λ.Κ. δύο καταστάσεις:</w:t>
      </w:r>
    </w:p>
    <w:p>
      <w:pPr>
        <w:pStyle w:val="StructureList1"/>
        <w:spacing w:before="120" w:after="0"/>
        <w:rPr>
          <w:lang w:val="el" w:eastAsia="el"/>
        </w:rPr>
      </w:pPr>
      <w:r>
        <w:rPr>
          <w:lang w:val="el" w:eastAsia="el"/>
        </w:rPr>
        <w:t>-</w:t>
      </w:r>
      <w:r>
        <w:rPr>
          <w:lang w:val="en" w:eastAsia="en"/>
        </w:rPr>
        <w:tab/>
      </w:r>
      <w:r>
        <w:rPr>
          <w:lang w:val="el" w:eastAsia="el"/>
        </w:rPr>
        <w:t>μία κατάσταση τραπεζών για την πίστωση των λογαριασμών των δικαιούχων, με χρέωση του λογαριασμού 200/1 «Ελληνικό Δημόσιο -Συγκέντρωση Εισπράξεων και Πληρωμών».</w:t>
      </w:r>
    </w:p>
    <w:p>
      <w:pPr>
        <w:pStyle w:val="StructureList1"/>
        <w:spacing w:before="120" w:after="0"/>
        <w:rPr>
          <w:lang w:val="el" w:eastAsia="el"/>
        </w:rPr>
      </w:pPr>
      <w:r>
        <w:rPr>
          <w:lang w:val="el" w:eastAsia="el"/>
        </w:rPr>
        <w:t>-</w:t>
      </w:r>
      <w:r>
        <w:rPr>
          <w:lang w:val="en" w:eastAsia="en"/>
        </w:rPr>
        <w:tab/>
      </w:r>
      <w:r>
        <w:rPr>
          <w:lang w:val="el" w:eastAsia="el"/>
        </w:rPr>
        <w:t>μία μισθοδοτική κατάσταση σε δύο (2) αντίγραφα για τις εγγραφές στη δημόσια ληψοδοσία που θα περιλαμβάνει το συνολικό ποσό (έξοδα) προϋπολογισμού, το πληρωτέο ποσό και τις κρατήσεις υπέρ δημοσίου και υπέρ τρίτων.</w:t>
      </w:r>
    </w:p>
    <w:p>
      <w:pPr>
        <w:spacing w:before="240" w:after="240"/>
        <w:rPr>
          <w:lang w:val="el" w:eastAsia="el"/>
        </w:rPr>
      </w:pPr>
      <w:r>
        <w:rPr>
          <w:lang w:val="el" w:eastAsia="el"/>
        </w:rPr>
        <w:t>4. Κατά τα λοιπά εξακολουθεί να ισχύει η υπ’ αριθμ. 2/25908/0022/2.6.2008 κοινή απόφαση των Υπουργών Οικονομίας και Οικονομικών και Ανάπτυξης «Τροποποίηση της υπ’ αριθμ. 2/27364/0022/8.5.2007 κοινής απόφασης των Υπουργών Οικονομίας και Οικονομικών και Ανάπτυξης, όπως ισχύει σήμερα». (ΦΕΚ 1071/Β/10.6.2008), εκτός εάν διαφορετικά ορίζεται στην παρούσα.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Οκτωβρίου 2009</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ΝΙΚΟΛΑΟΣ ΛΕΓΚΑΣ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