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445/2009</w:t>
      </w:r>
    </w:p>
    <w:p>
      <w:pPr>
        <w:spacing w:before="240" w:after="240"/>
        <w:rPr>
          <w:lang w:val="el" w:eastAsia="el"/>
        </w:rPr>
      </w:pPr>
      <w:r>
        <w:rPr>
          <w:lang w:val="el" w:eastAsia="el"/>
        </w:rPr>
        <w:t>Καθορισμός ποσοστών των πρώτων υλών για την πα-ραγωγή τύπου ζύθου με χρήση μέλιτος.</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υπ’ αριθ. 2965/28-8-2009 έγγραφο της Διεύθυνσης Αλκοόλης, Αλκοολούχων Ποτών, Οίνου και Ζύθου του Γενικού Χημείου του Κράτους.</w:t>
      </w:r>
    </w:p>
    <w:p>
      <w:pPr>
        <w:spacing w:before="240" w:after="240"/>
        <w:rPr>
          <w:lang w:val="el" w:eastAsia="el"/>
        </w:rPr>
      </w:pPr>
      <w:r>
        <w:rPr>
          <w:lang w:val="el" w:eastAsia="el"/>
        </w:rPr>
        <w:t>2) Το εδάφιο δ της παρ. 8 του άρθρου 6 του ν.4328/1929 (Φ.Ε.Κ. 272/Α/1929) «Περί συστάσεως Γενικού Χημείου του Κράτους», όπως αντικαταστάθηκε από την παράγραφο 6 του άρθρου 11 του ν.2343/95, (Φ.Ε.Κ. 211/Α/11-10-1995).</w:t>
      </w:r>
    </w:p>
    <w:p>
      <w:pPr>
        <w:spacing w:before="240" w:after="240"/>
        <w:rPr>
          <w:lang w:val="el" w:eastAsia="el"/>
        </w:rPr>
      </w:pPr>
      <w:r>
        <w:rPr>
          <w:lang w:val="el" w:eastAsia="el"/>
        </w:rPr>
        <w:t>3) Το άρθρο 4 του Διατάγματος της 31ης Οκτωβρίου 1929 «Περί κανονισμού της λειτουργίας και των εργασιών του Ανωτάτου Χημικού Συμβουλίου» (Φ.Ε.Κ. 391/Α/1929).</w:t>
      </w:r>
    </w:p>
    <w:p>
      <w:pPr>
        <w:spacing w:before="240" w:after="240"/>
        <w:rPr>
          <w:lang w:val="el" w:eastAsia="el"/>
        </w:rPr>
      </w:pPr>
      <w:r>
        <w:rPr>
          <w:lang w:val="el" w:eastAsia="el"/>
        </w:rPr>
        <w:t>4) Τα Π.Δ. 284/1988 και 543/1989 «Οργανισμός του Υπουργείου Οικονομικών» (Φ.Ε.Κ. 128 και 165/Α/1988 και 229/Α/1989).</w:t>
      </w:r>
    </w:p>
    <w:p>
      <w:pPr>
        <w:spacing w:before="240" w:after="240"/>
        <w:rPr>
          <w:lang w:val="el" w:eastAsia="el"/>
        </w:rPr>
      </w:pPr>
      <w:r>
        <w:rPr>
          <w:lang w:val="el" w:eastAsia="el"/>
        </w:rPr>
        <w:t>5) Το άρθρο 3 παρ. 2 του ν. 2963.1922 (Φ.Ε.Κ. 184/Α/1922) «Περί τροποποιήσεως διατάξεων των περί φορολογίας του ζύθου νόμων», όπως έχει τροποποιηθεί και ισχύει.</w:t>
      </w:r>
    </w:p>
    <w:p>
      <w:pPr>
        <w:spacing w:before="240" w:after="240"/>
        <w:rPr>
          <w:lang w:val="el" w:eastAsia="el"/>
        </w:rPr>
      </w:pPr>
      <w:r>
        <w:rPr>
          <w:lang w:val="el" w:eastAsia="el"/>
        </w:rPr>
        <w:t>6) Την υπ’ αριθ. 1078204/927/0006 Α/6-8-1992 Απόφαση των Υπουργών Προεδρίας και Οικονομικών «Περιορισμός Συλλογικών Οργάνων του Υπουργείου Οικονομικών» (Φ.Ε.Κ. 517/Β/1992).</w:t>
      </w:r>
    </w:p>
    <w:p>
      <w:pPr>
        <w:spacing w:before="240" w:after="240"/>
        <w:rPr>
          <w:lang w:val="el" w:eastAsia="el"/>
        </w:rPr>
      </w:pPr>
      <w:r>
        <w:rPr>
          <w:lang w:val="el" w:eastAsia="el"/>
        </w:rPr>
        <w:t>7) Το Π.Δ. 187/2009 «Διορισμός Υπουργών και Υφυπουργών» (Φ.Ε.Κ. 214/Α/7-10-2009.</w:t>
      </w:r>
    </w:p>
    <w:p>
      <w:pPr>
        <w:spacing w:before="240" w:after="240"/>
        <w:rPr>
          <w:lang w:val="el" w:eastAsia="el"/>
        </w:rPr>
      </w:pPr>
      <w:r>
        <w:rPr>
          <w:lang w:val="el" w:eastAsia="el"/>
        </w:rPr>
        <w:t>8) Το Π.Δ. 185/2009 «Ανασύσταση Υπουργείου Οικονομικών, συγχώνευση του Υπουργείου Οικονομίας και Οικονομικών με τα Υπουργεία Ανάπτυξης και Εµπορικής Ναυτιλίας, Αιγαίου και Νησιωτικής Πολιτικής και µετονοµασία του σε «Υπουργείο Οικονοµίας, Ανταγωνιστικότητας και Ναυτιλίας», μετατροπή του Υπουργείου Μακεδονίας-Θράκης σε Γενική Γραμματεία Μακεδονίας-Θράκης και υπαγωγή στο Υπουργείο Εσωτερικών της Γενικής Γραμματείας Μακεδονίας-Θράκης και της Γενικής Γραμματείας Αιγαίου και Νησιωτικής Πολιτικής» (Φ.Ε.Κ. 213/Α/7-10-2009).</w:t>
      </w:r>
    </w:p>
    <w:p>
      <w:pPr>
        <w:spacing w:before="240" w:after="240"/>
        <w:rPr>
          <w:lang w:val="el" w:eastAsia="el"/>
        </w:rPr>
      </w:pPr>
      <w:r>
        <w:rPr>
          <w:lang w:val="el" w:eastAsia="el"/>
        </w:rPr>
        <w:t>9) Το Π.Δ. 189/2009 «Καθορισμός και ανακατανομή αρμοδιοτήτων των Υπουργείων» (Φ.Ε.Κ. 221/Α/5-11-2009).</w:t>
      </w:r>
    </w:p>
    <w:p>
      <w:pPr>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που τέθηκε σε ισχύ με το άρθρο πρώτο του Π.Δ. 63/2005 (Φ.Ε.Κ. 98/Α/2005) και το γεγονός ότι από τις διατάξεις της παρούσας δεν προκύπτει δαπάνη εις βάρος του κρατικού προϋπολογισμού, αποφασίζουμε:</w:t>
      </w:r>
    </w:p>
    <w:p>
      <w:pPr>
        <w:spacing w:before="240" w:after="240"/>
        <w:rPr>
          <w:lang w:val="el" w:eastAsia="el"/>
        </w:rPr>
      </w:pPr>
      <w:r>
        <w:rPr>
          <w:lang w:val="el" w:eastAsia="el"/>
        </w:rPr>
        <w:t>Εγκρίνουμε την απόφαση υπ’ αριθ. 445/2009 του Ανωτάτου Χημικού Συμβουλίου η οποία ελήφθη κατά τη συνεδρία της 14/9/2009 και η οποία έχει ως εξής:</w:t>
      </w:r>
    </w:p>
    <w:p>
      <w:pPr>
        <w:spacing w:before="240" w:after="240"/>
        <w:rPr>
          <w:lang w:val="el" w:eastAsia="el"/>
        </w:rPr>
      </w:pPr>
      <w:r>
        <w:rPr>
          <w:lang w:val="el" w:eastAsia="el"/>
        </w:rPr>
        <w:t>ΓΕΝΙΚΟ ΧΗΜΕΙΟ ΤΟΥ ΚΡΑΤΟΥΣ ΑΝΩΤΑΤΟ ΧΗΜΙΚΟ ΣΥΜΒΟΥΛΙΟ</w:t>
      </w:r>
    </w:p>
    <w:p>
      <w:pPr>
        <w:spacing w:before="240" w:after="240"/>
        <w:rPr>
          <w:lang w:val="el" w:eastAsia="el"/>
        </w:rPr>
      </w:pPr>
      <w:r>
        <w:rPr>
          <w:lang w:val="el" w:eastAsia="el"/>
        </w:rPr>
        <w:t>Εγκρίνουμε την παραγωγή τύπου ζύθου με προσθήκη μέλιτος με συστατικά: βύνη κριθής σε ποσοστό τουλάχιστον 88 % και μέλι σε ποσοστό από 8 % έως 12%, υπολογιζομένων στο συνολικό εκχύλισμα που περιέχεται στο ζυθογλεύκος, νερό, λυκίσκο και μαγιά. Η παραγωγική διαδικασία θα είναι παρόμοια με τη ζυθοποίηση από βύνη κριθής και η προσθήκη του μέλιτος θα γίνεται στο ζυθογλεύκος.</w:t>
      </w:r>
    </w:p>
    <w:p>
      <w:pPr>
        <w:spacing w:before="240" w:after="240"/>
        <w:rPr>
          <w:lang w:val="el" w:eastAsia="el"/>
        </w:rPr>
      </w:pPr>
      <w:r>
        <w:rPr>
          <w:lang w:val="el" w:eastAsia="el"/>
        </w:rPr>
        <w:t>Η παραλαβή του μέλιτος, ως πρώτης ύλης για την παρασκευή ζύθου από το ζυθοποιείο θα γίνεται μετά από σχετική γνωστοποίηση προς την αρμόδια αρχή, η δε έξοδός του από το ζυθοποιείο θα πραγματοποιείται με άδεια μεταφοράς από την αρμόδια αρχή. Γενικά η διαδικασία ελέγχου του μέλιτος ως πρώτης ύλης για την παρασκευή ζύθου πρέπει να είναι όμοια με τη διαδικασία ελέγχου της βύνης κριθής.</w:t>
      </w:r>
    </w:p>
    <w:p>
      <w:pPr>
        <w:spacing w:before="240" w:after="240"/>
        <w:rPr>
          <w:lang w:val="el" w:eastAsia="el"/>
        </w:rPr>
      </w:pPr>
      <w:r>
        <w:rPr>
          <w:lang w:val="el" w:eastAsia="el"/>
        </w:rPr>
        <w:t>Ο εν λόγω ζύθος που είτε θα διατεθεί στην εσωτερική αγορά είτε θα εξαχθεί πρέπει να έχει αρχική πυκνότητα ζυθογλεύκους τουλάχιστον δεκαπέντε (15), βαθμό ζύμωσης τουλάχιστον σαράντα (40) και η αλκοόλη που περιέχεται θα πρέπει να προέρχεται αποκλειστικά από την αλκοολική ζύμωση των πρώτων υλών που χρησιμοποιήθηκαν για την παραγωγή του.</w:t>
      </w:r>
    </w:p>
    <w:p>
      <w:pPr>
        <w:spacing w:before="240" w:after="240"/>
        <w:rPr>
          <w:lang w:val="el" w:eastAsia="el"/>
        </w:rPr>
      </w:pPr>
      <w:r>
        <w:rPr>
          <w:lang w:val="el" w:eastAsia="el"/>
        </w:rPr>
        <w:t>Οι όροι παραγωγής του εν λόγω ζύθου και οι τηρητέες διαδικασίες ελέγχου και εποπτείας των ζυθοποιείων στα οποία γίνεται χρήση και μέλιτος θα είναι σύμφωνοι προς την υπ’ αριθ. 598/2004 (Φ.Ε.Κ. 251/Β’/2005) απόφαση Υφυπουργού Οικονομίας και Οικονομικών, “’Οροι παραγωγής ζύθου καθώς και τηρητέες διαδικασίες ελέγχου και εποπτείας των ζυθοποιείων στα οποία γίνεται χρήση και άλλων εκτός της βύνης κριθής πρώτων υλών, και συγκεκριμένα σακχάρων”.</w:t>
      </w:r>
    </w:p>
    <w:p>
      <w:pPr>
        <w:spacing w:before="240" w:after="240"/>
        <w:rPr>
          <w:lang w:val="el" w:eastAsia="el"/>
        </w:rPr>
      </w:pPr>
      <w:r>
        <w:rPr>
          <w:lang w:val="el" w:eastAsia="el"/>
        </w:rPr>
        <w:t>Ο ΠΡΟΕΔΡΟΣ Η ΓΡΑΜΜΑΤΕΑΣ</w:t>
      </w:r>
    </w:p>
    <w:p>
      <w:pPr>
        <w:spacing w:before="240" w:after="240"/>
        <w:rPr>
          <w:lang w:val="el" w:eastAsia="el"/>
        </w:rPr>
      </w:pPr>
      <w:r>
        <w:rPr>
          <w:lang w:val="el" w:eastAsia="el"/>
        </w:rPr>
        <w:t>κ.α.α.</w:t>
      </w:r>
    </w:p>
    <w:p>
      <w:pPr>
        <w:spacing w:before="240" w:after="240"/>
        <w:rPr>
          <w:lang w:val="el" w:eastAsia="el"/>
        </w:rPr>
      </w:pPr>
      <w:r>
        <w:rPr>
          <w:lang w:val="el" w:eastAsia="el"/>
        </w:rPr>
        <w:t>Ι. ΧΡΟΝΑΙΟΣ Α. ΑΛΙΒΕΡΤΗ</w:t>
      </w:r>
    </w:p>
    <w:p>
      <w:pPr>
        <w:spacing w:before="240" w:after="240"/>
        <w:rPr>
          <w:lang w:val="el" w:eastAsia="el"/>
        </w:rPr>
      </w:pPr>
      <w:r>
        <w:rPr>
          <w:lang w:val="el" w:eastAsia="el"/>
        </w:rPr>
        <w:t>Τα μέλη: Β. Κασελούρη-Ρηγοπούλου, Δ. Δανιήλ, Ν. Νομικός, Δ. Αντωνόπουλος, Ι. Αγγελοπούλου, Χ. Παπαχρήστου.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2009</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