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ΠΟΛ.1157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Κατάργηση της ΑΥΟΟ 1088566/7245/1101/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ΠΟΛ.1124/15-9-2009.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παρακάτω διατάξεις του κώδικα Φ.Π.Α. ο οποίος κυρώθηκε με το ν.2859/2000 (ΦΕΚ 248 Α’).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των παραγράφων 1 και 11 του άρθρου 34.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των άρθρων 24, 25, 26, 27 και 28.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των άρθρων 30, 31 και 32 και των παραγράφων 2 και 3 του άρθρου 64.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της παραγράφου 1 του άρθρου 35.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της παραγράφου 2 του άρθρου 38.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ΑΥΟΟ 1060481/4643/810/ΠΟΛ1073/21-7-2004 (ΦΕΚ 1164/Β/30-7-2004).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ΑΥΟΟ 1088566/ 7245/1101/ ΠΟΛ.1124/15-9-2009 (ΦΕΚ 2106/Β/29-9-2009).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της παρ. 2 και 3 του άρθρου 2 του Ν.2120/93 όπως ισχύει,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Από την δημοσίευση της παρούσας στην Εφημερίδα της Κυβερνήσεως καταργείται η ΑΥΟΟ 1088566/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7245/1101/ΠΟΛ.1124/15-9-2009 και επανέρχεται σε ισχύ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άρθρο 2 της ΑΥΟΟ 1060481/4643/810/ΠΟΛ1073/ 21-7-2004 ως ίσχυε πριν την τροποποίησή του με την ΑΥΟΟ 1088566/ 7245/1101/ ΠΟΛ.1124/15-9-2009.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Στις ρυθμίσεις των διατάξεων της απόφασης αυτής υπάγονται και οι αιτήσεις επιστροφής που έχουν υποβληθεί και εκκρεμούν στις Δ.Ο.Υ. μέχρι την έναρξη ισχύος της παρούσας.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ισχύς της απόφασης αυτής ορίζεται από την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23 Δεκεμβρίου 2009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</w:t>
      </w:r>
      <w:r>
        <w:rPr>
          <w:lang w:val="el" w:eastAsia="el"/>
        </w:rPr>
        <w:t>ΓΕΩΡΓΙΟΣ ΠΑΠΑΚΩΝΣΤΑΝΤΙΝΟΥ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