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3006682/1105/0029</w:t>
      </w:r>
    </w:p>
    <w:p>
      <w:pPr>
        <w:pStyle w:val="enacting"/>
        <w:spacing w:before="120" w:after="0"/>
        <w:rPr>
          <w:lang w:val="el" w:eastAsia="el"/>
        </w:rPr>
      </w:pPr>
      <w:r>
        <w:rPr>
          <w:lang w:val="el" w:eastAsia="el"/>
        </w:rPr>
        <w:t>Μετουσιωτικές ύλες αιθυλικής αλκοόλης.</w:t>
      </w:r>
      <w:r>
        <w:rPr>
          <w:lang w:val="el" w:eastAsia="el"/>
        </w:rPr>
        <w:br/>
      </w: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περιπτώσεως β’ της παραγράφου 1 του άρθρου 83 του Ν. 2960/2001 «Εθνικός Τελωνειακός Κώδικας» (Φ.Ε.Κ. 265/Α’/22-11-2001), όπως αυτός έχει τροποποιηθεί και ισχύει.</w:t>
      </w:r>
    </w:p>
    <w:p>
      <w:pPr>
        <w:pStyle w:val="PreambelText"/>
        <w:spacing w:before="240" w:after="240"/>
        <w:rPr>
          <w:lang w:val="el" w:eastAsia="el"/>
        </w:rPr>
      </w:pPr>
      <w:r>
        <w:rPr>
          <w:lang w:val="el" w:eastAsia="el"/>
        </w:rPr>
        <w:t>2. Τις διατάξεις των παραγράφων 1, 2 και 10 του άρθρου 3, ως και τις διατάξεις της παραγράφου 7 του άρθρου 8 του Ν. 2969/2001 «Αιθυλική αλκοόλη και αλκοολούχα προϊόντα» (Φ.Ε.Κ. 281/Α’/18-12-2001).</w:t>
      </w:r>
    </w:p>
    <w:p>
      <w:pPr>
        <w:pStyle w:val="PreambelText"/>
        <w:spacing w:before="240" w:after="240"/>
        <w:rPr>
          <w:lang w:val="el" w:eastAsia="el"/>
        </w:rPr>
      </w:pPr>
      <w:r>
        <w:rPr>
          <w:lang w:val="el" w:eastAsia="el"/>
        </w:rPr>
        <w:t>3. Τις διατάξεις της υπ’ αριθμ. 3023153/7104/0029/ 18-12-1992 Α.Υ.Ο. «Μετουσιωτικά αιθυλικής αλκοόλης» (Φ.Ε.Κ. 774/Β’/31-12-1992).</w:t>
      </w:r>
    </w:p>
    <w:p>
      <w:pPr>
        <w:pStyle w:val="PreambelText"/>
        <w:spacing w:before="240" w:after="240"/>
        <w:rPr>
          <w:lang w:val="el" w:eastAsia="el"/>
        </w:rPr>
      </w:pPr>
      <w:r>
        <w:rPr>
          <w:lang w:val="el" w:eastAsia="el"/>
        </w:rPr>
        <w:t>4. Τις διατάξεις της υπ’ αριθμ. Φ.1554/811/17-12-2008 Α.Υ.Ο.Ο. «Όροι και διατυπώσεις για την μετουσίωση και την απαλλαγή από τον ειδικό φόρο κατανάλωσης της αιθυλικής αλκοόλης, που παραλαμβάνεται από βιομηχανίες ή βιοτεχνίες, κατ’ εφαρμογή της περιπτώσεως Β’ της παραγράφου 1 του άρθρου 83 του ν. 2960/2001» (Φ.Ε.Κ. 2694/Β’/31-12-2008).</w:t>
      </w:r>
    </w:p>
    <w:p>
      <w:pPr>
        <w:pStyle w:val="PreambelText"/>
        <w:spacing w:before="240" w:after="240"/>
        <w:rPr>
          <w:lang w:val="el" w:eastAsia="el"/>
        </w:rPr>
      </w:pPr>
      <w:r>
        <w:rPr>
          <w:lang w:val="el" w:eastAsia="el"/>
        </w:rPr>
        <w:t>5. Την ανάγκη για τον επανακαθορισμό, με βάση την αποκτηθείσα εμπειρία καθώς και τις σχετικές εξελίξεις σε κοινοτικό επίπεδο, του καταλόγου των μετουσιωτικών υλών που χρησιμοποιούνται για την μετουσίωση της αιθυλικής αλκοόλης σύμφωνα με τις διατάξεις της περιπτώσεως Β’ της παραγράφου 1 του άρθρου 83 του Ν. 2960/2001 ως και της παραγράφου 10 του άρθρου 3 του Ν. 2969/2001 και την από 22-12-2009 σχετική εισήγηση της Υπηρεσίας.</w:t>
      </w:r>
    </w:p>
    <w:p>
      <w:pPr>
        <w:pStyle w:val="PreambelText"/>
        <w:spacing w:before="240" w:after="240"/>
        <w:rPr>
          <w:lang w:val="el" w:eastAsia="el"/>
        </w:rPr>
      </w:pPr>
      <w:r>
        <w:rPr>
          <w:lang w:val="el" w:eastAsia="el"/>
        </w:rPr>
        <w:t>6. Τις διατάξεις της παραγράφου 2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98/τ. Α’/22-4-2005).</w:t>
      </w:r>
    </w:p>
    <w:p>
      <w:pPr>
        <w:pStyle w:val="PreambelText"/>
        <w:spacing w:before="240" w:after="240"/>
        <w:rPr>
          <w:lang w:val="el" w:eastAsia="el"/>
        </w:rPr>
      </w:pPr>
      <w:r>
        <w:rPr>
          <w:lang w:val="el" w:eastAsia="el"/>
        </w:rPr>
        <w:t>7. Τα Προεδρικά διατάγματα 185/09 (ΦΕΚ 213/Α’) «Περί ανασυστάσεως του Υπουργείου Οικονομικών» και 189/09 (ΦΕΚ 221/Α’) «Καθορισμός αρμοδιοτήτων των Υπουργείων».</w:t>
      </w:r>
    </w:p>
    <w:p>
      <w:pPr>
        <w:pStyle w:val="PreambelText"/>
        <w:spacing w:before="240" w:after="240"/>
        <w:rPr>
          <w:lang w:val="el" w:eastAsia="el"/>
        </w:rPr>
      </w:pPr>
      <w:r>
        <w:rPr>
          <w:lang w:val="el" w:eastAsia="el"/>
        </w:rPr>
        <w:t>8. Το γεγονός ότι από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1. Καθορίζουμε τις μετουσιωτικές ύλες (είδος, ποσοστό) που χρησιμοποιούνται για τη μετουσίωση της αιθυλικής αλκοόλης, η οποία προορίζεται να χρησιμοποιηθεί ως πρώτη ή βοηθητική ύλη από εγκεκριμένες βιομηχανίες/βιοτεχνίες κατ’ εφαρμογή της περιπτώσεως Β’ της παραγράφου 1 του άρθρου 83 του Ν. 2960/2001 και σύμφωνα με τους όρους και διατυπώσεις που καθορίζονται στην υπ’ αριθμ. Φ.1554/811/17-12-2008 Α.Υ.Ο.Ο.</w:t>
      </w:r>
    </w:p>
    <w:p>
      <w:pPr>
        <w:pStyle w:val="PreambelText"/>
        <w:spacing w:before="240" w:after="240"/>
        <w:rPr>
          <w:lang w:val="el" w:eastAsia="el"/>
        </w:rPr>
      </w:pPr>
      <w:r>
        <w:rPr>
          <w:lang w:val="el" w:eastAsia="el"/>
        </w:rPr>
        <w:t>2. Για την εφαρμογή της παρούσας απόφασης και κατά τα ειδικότερον οριζόμενα σε αυτή, ως αιθυλική αλκοόλη νοείται η αιθυλική αλκοόλη γεωργικής προέλευσης, ουδέτερη και ακατέργαστη ή ακαθάριστη, όπως τα προϊόντα αυτά καθορίζονται στις σχετικές διατάξεις των παραγράφων 1, 2 και 10 του άρθρου 3 του Ν. 2969/2001, καθώς και η συνθετική αιθυλική αλκοόλη.</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Μετουσιωτικές ύλες</w:t>
      </w:r>
    </w:p>
    <w:p>
      <w:pPr>
        <w:pStyle w:val="MainText"/>
        <w:spacing w:before="120" w:after="0"/>
        <w:rPr>
          <w:lang w:val="el" w:eastAsia="el"/>
        </w:rPr>
      </w:pPr>
      <w:r>
        <w:rPr>
          <w:b/>
          <w:bCs/>
          <w:lang w:val="el" w:eastAsia="el"/>
        </w:rPr>
        <w:t>1.</w:t>
      </w:r>
      <w:r>
        <w:rPr>
          <w:lang w:val="el" w:eastAsia="el"/>
        </w:rPr>
        <w:t xml:space="preserve"> α. Οι μετουσιωτικές ύλες που χρησιμοποιούνται για την κατά τα ανωτέρω μετουσίωση της ουδέτερης αιθυλικής αλκοόλης γεωργικής προέλευσης ως και της συνθετικής αιθυλικής αλκοόλης, που προορίζεται για την παρασκευή, από εγκεκριμένες βιομηχανίες / βιοτεχνίες, αρωμάτων ως και καλλυντικών προϊόντων, περιλαμβάνονται στο Παράρτημα Ι της παρούσας.</w:t>
      </w:r>
    </w:p>
    <w:p>
      <w:pPr>
        <w:spacing w:before="240" w:after="240"/>
        <w:rPr>
          <w:lang w:val="el" w:eastAsia="el"/>
        </w:rPr>
      </w:pPr>
      <w:r>
        <w:rPr>
          <w:lang w:val="el" w:eastAsia="el"/>
        </w:rPr>
        <w:t>β. Οι μετουσιωτικές ύλες που χρησιμοποιούνται για την κατά τα ανωτέρω μετουσίωση της ουδέτερης αιθυλικής αλκοόλης γεωργικής προέλευσης, που προορίζεται για την παρασκευή, από εγκεκριμένες βιομηχανίες / βιοτεχνίες, προϊόντων για την περιποίηση των δοντιών και του στόματος (στοματικά διαλύματα κ.λπ.), περιλαμβάνονται στο Παράρτημα ΙΙΙ της παρούσας.</w:t>
      </w:r>
    </w:p>
    <w:p>
      <w:pPr>
        <w:spacing w:before="240" w:after="240"/>
        <w:rPr>
          <w:lang w:val="el" w:eastAsia="el"/>
        </w:rPr>
      </w:pPr>
      <w:r>
        <w:rPr>
          <w:lang w:val="el" w:eastAsia="el"/>
        </w:rPr>
        <w:t>γ. Οι μετουσιωτικές ύλες που χρησιμοποιούνται για την κατά τα ανωτέρω μετουσίωση της αιθυλικής αλκοόλης (ουδέτερης και ακατέργαστης ή ακαθάριστης), ως και της συνθετικής αιθυλικής αλκοόλης, που προορίζεται για την παραγωγή, από εγκεκριμένες βιομηχανίες/βιοτεχνίες, οποιουδήποτε άλλου, πλην των αναφερομένων στα προηγούμενα εδάφια του παρόντος άρθρου προϊόντων, προϊόντος που δεν προορίζεται για ανθρώπινη κατανάλωση, περιλαμβάνονται στο Παράρτημα III της παρούσας.</w:t>
      </w:r>
    </w:p>
    <w:p>
      <w:pPr>
        <w:pStyle w:val="MainText"/>
        <w:spacing w:before="120" w:after="0"/>
        <w:rPr>
          <w:lang w:val="el" w:eastAsia="el"/>
        </w:rPr>
      </w:pPr>
      <w:r>
        <w:rPr>
          <w:b/>
          <w:bCs/>
          <w:lang w:val="el" w:eastAsia="el"/>
        </w:rPr>
        <w:t>2.</w:t>
      </w:r>
      <w:r>
        <w:rPr>
          <w:lang w:val="el" w:eastAsia="el"/>
        </w:rPr>
        <w:t xml:space="preserve"> α. Οι κατά τα ανωτέρω μετουσιωτικές ύλες χρησιμοποιούνται υπό τις αναλογίες που, κατ’ ελάχιστο, καθορίζονται γι ’αυτές στο οικείο Παράρτημα της παρούσας. Οι εν λόγω μετουσιωτικές ύλες χρησιμοποιούνται, είτε αυτούσιες είτε σε συνδυασμό μεταξύ τους. Όταν χρησιμοποιούνται σε συνδυασμό μεταξύ τους, αρκεί η μία τουλάχιστον από αυτές να βρίσκεται υπό την καθοριζόμενη, στο οικείο Παράρτημα της παρούσας, αναλογία.</w:t>
      </w:r>
    </w:p>
    <w:p>
      <w:pPr>
        <w:spacing w:before="240" w:after="240"/>
        <w:rPr>
          <w:lang w:val="el" w:eastAsia="el"/>
        </w:rPr>
      </w:pPr>
      <w:r>
        <w:rPr>
          <w:lang w:val="el" w:eastAsia="el"/>
        </w:rPr>
        <w:t>β. Προκειμένου για τις μετουσιωτικές ύλες που περιλαμβάνονται στο παράρτημα Ι της παρούσας, αυτές, είτε αυτούσιες, είτε σε συνδυασμό μεταξύ τους, χρησιμοποιούνται οπωσδήποτε σε συνδυασμό και με τη μετουσιωτική ύλη «βενζοϊκό δενατόνιο/bitrex» η οποία προστίθεται σε ποσότητα κατ’ελάχιστο 0,02 γραμμάρια ανά λίτρο ένυδρου της προς μετουσίωση αιθυλικής αλκοόλης, ανεξαρτήτως του κατ’όγκο αλκοολικού τίτλου αυτής.</w:t>
      </w:r>
    </w:p>
    <w:p>
      <w:pPr>
        <w:pStyle w:val="MainText"/>
        <w:spacing w:before="120" w:after="0"/>
        <w:rPr>
          <w:lang w:val="el" w:eastAsia="el"/>
        </w:rPr>
      </w:pPr>
      <w:r>
        <w:rPr>
          <w:b/>
          <w:bCs/>
          <w:lang w:val="el" w:eastAsia="el"/>
        </w:rPr>
        <w:t>3.</w:t>
      </w:r>
      <w:r>
        <w:rPr>
          <w:lang w:val="el" w:eastAsia="el"/>
        </w:rPr>
        <w:t xml:space="preserve"> Το ποσοστό υπό το οποίο προστίθεται στην αιθυλική αλκοόλη η/οι εκάστοτε χρησιμοποιούμενη/ες μετουσιωτική/ές ύλη/ες εκφράζεται, προκειμένου μεν για τις μετουσιωτικές ύλες που περιλαμβάνονται στα Παραρτήματα Ι και II της παρούσας σε γραμμάρια μετουσιωτικής ύλης ανά λίτρο ένυδρου της προς μετουσίωση αιθυλικής αλκοόλης, προκειμένου δε για τις μετουσιωτικές ύλες που περιλαμβάνονται στο Παράρτημα III της παρούσας σε μέρη βάρους μετουσιωτικής ύλης ανά εκατό (100) μέρη βάρους της προς μετουσίωση αιθυλικής αλκοόλης, ανεξαρτήτως του κατ’ όγκο αλκοολικού τίτλου αυτής.</w:t>
      </w:r>
    </w:p>
    <w:p>
      <w:pPr>
        <w:pStyle w:val="MainText"/>
        <w:spacing w:before="120" w:after="0"/>
        <w:rPr>
          <w:lang w:val="el" w:eastAsia="el"/>
        </w:rPr>
      </w:pPr>
      <w:r>
        <w:rPr>
          <w:b/>
          <w:bCs/>
          <w:lang w:val="el" w:eastAsia="el"/>
        </w:rPr>
        <w:t>4.</w:t>
      </w:r>
      <w:r>
        <w:rPr>
          <w:lang w:val="el" w:eastAsia="el"/>
        </w:rPr>
        <w:t xml:space="preserve"> Κατά παρέκκλιση προς τις διατάξεις της παραγράφου 1 του παρόντος άρθρου, είναι δυνατή, για την μετουσίωση της αιθυλικής αλκοόλης κατά τα ανωτέρω, η χρησιμοποίηση άλλης μετουσιωτικής ύλης, είτε κατά το είδος, είτε κατά την αναλογία, εκτός των προβλεπομένων στα οικεία Παραρτήματα της παρούσας, κατόπιν σχετικής εγκριτικής Απόφασης της αρμόδιας Δ/νσης της Κ.Υ. του Γ.Χ.Κ. τηρούμενης της διαδικασίας και των διατυπώσεων που καθορίζονται στις σχετικές διατάξεις τού άρθρου 2 της υπ’αριθμ. Φ.1554/811/17-12-2008 Α.Υ.Ο.Ο.</w:t>
      </w:r>
    </w:p>
    <w:p>
      <w:pPr>
        <w:spacing w:before="240" w:after="240"/>
        <w:rPr>
          <w:lang w:val="el" w:eastAsia="el"/>
        </w:rPr>
      </w:pPr>
      <w:r>
        <w:rPr>
          <w:lang w:val="el" w:eastAsia="el"/>
        </w:rPr>
        <w:t>Στην περίπτωση αυτή και αναλόγως των αποτελεσμάτων που προκύπτουν και από την πρακτική εφαρμογή, για εύλογο χρονικό διάστημα αναλόγως του είδους της συγκεκριμένης μετουσιωτικής ύλης και της χρήσης της κατ’ αυτό τον τρόπο μετουσιωμένης αιθυλικής αλκοόλης, η αρμόδια Διεύθυνση της Κ.Υ. του Γ.Χ.Κ. εισηγείται την ένταξη ή μη αυτής στο οικείο Παράρτημα της παρούσας.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Έλεγχος</w:t>
      </w:r>
    </w:p>
    <w:p>
      <w:pPr>
        <w:pStyle w:val="MainText"/>
        <w:spacing w:before="120" w:after="0"/>
        <w:rPr>
          <w:lang w:val="el" w:eastAsia="el"/>
        </w:rPr>
      </w:pPr>
      <w:r>
        <w:rPr>
          <w:b/>
          <w:bCs/>
          <w:lang w:val="el" w:eastAsia="el"/>
        </w:rPr>
        <w:t>1.</w:t>
      </w:r>
      <w:r>
        <w:rPr>
          <w:lang w:val="el" w:eastAsia="el"/>
        </w:rPr>
        <w:t xml:space="preserve"> α.Οι μετουσιωτικές ύλες που χρησιμοποιούνται για τη μετουσίωση της αιθυλικής αλκοόλης σύμφωνα με τις διατάξεις του προηγουμένου άρθρου πρέπει να είναι τουλάχιστον βιομηχανικής καθαρότητας (industrial purity).</w:t>
      </w:r>
    </w:p>
    <w:p>
      <w:pPr>
        <w:spacing w:before="240" w:after="240"/>
        <w:rPr>
          <w:lang w:val="el" w:eastAsia="el"/>
        </w:rPr>
      </w:pPr>
      <w:r>
        <w:rPr>
          <w:lang w:val="el" w:eastAsia="el"/>
        </w:rPr>
        <w:t>β. Οι εν λόγω μετουσιωτικές ύλες πρέπει να αποθηκεύονται χωριστά, κατά είδος, σε ιδιαίτερο χώρο στις εγκαταστάσεις της προμηθεύτριας της αιθυλικής αλκοόλης φορολογικής αποθήκης. Τα δοχεία στα οποία φυλάσσονται πρέπει να φέρουν αρίθμηση και την κατάλληλη επισήμανση, ώστε αυτές να είναι ασφαλείς και να είναι ευχερής η πρόσβαση και ο έλεγχος τους από τους αρμοδίους χημικούς υπαλλήλους της εποπτεύουσας τη φορολογική αποθήκη Χημικής Υπηρεσίας του Γ.Χ.Κ.</w:t>
      </w:r>
    </w:p>
    <w:p>
      <w:pPr>
        <w:spacing w:before="240" w:after="240"/>
        <w:rPr>
          <w:lang w:val="el" w:eastAsia="el"/>
        </w:rPr>
      </w:pPr>
      <w:r>
        <w:rPr>
          <w:lang w:val="el" w:eastAsia="el"/>
        </w:rPr>
        <w:t>γ. Για την κατά τα ανωτέρω μετουσιωμένη αιθυλική αλκοόλη χρησιμοποιούνται ιδιαίτερα, κατά περίπτωση, δοχεία και δεξαμενές, με την κατάλληλη αρίθμηση και επισήμανση σύμφωνα και με τις σχετικές διατάξεις του Ν. 2969/01, που καθαρίζονται επιμελώς και αποτελεσματικά μεταξύ των διαδοχικών περιπτώσεων διαφορετικών μετουσιώσεων με ευθύνη του υπευθύνου της φορολογικής αποθήκης ώστε να αποφεύγεται ο κίνδυνος επιμολύνσεων.</w:t>
      </w:r>
    </w:p>
    <w:p>
      <w:pPr>
        <w:spacing w:before="240" w:after="240"/>
        <w:rPr>
          <w:lang w:val="el" w:eastAsia="el"/>
        </w:rPr>
      </w:pPr>
      <w:r>
        <w:rPr>
          <w:lang w:val="el" w:eastAsia="el"/>
        </w:rPr>
        <w:t>Επίσης, για τη μεταφορά της κατά τα ανωτέρω μετουσιωμένης αιθυλικής αλκοόλης, χρησιμοποιούνται ιδιαίτερες αντλίες και γραμμές μεταφοράς που καθαρίζονται επιμελώς και αποτελεσματικά, μεταξύ των χρήσεων τους για τη διαδοχική μεταφορά ποσοτήτων μετουσιωμένης αιθυλικής αλκοόλης που έχουν μετουσιωθεί με χρήση διαφορετικών μετουσιωτικών κατά το είδος ή/και το ποσοστό τους, με ευθύνη του υπευθύνου της φορολογικής αποθήκης, ώστε να αποφεύγεται ο κίνδυνος επιμολύνσεων.</w:t>
      </w:r>
    </w:p>
    <w:p>
      <w:pPr>
        <w:pStyle w:val="MainText"/>
        <w:spacing w:before="120" w:after="0"/>
        <w:rPr>
          <w:lang w:val="el" w:eastAsia="el"/>
        </w:rPr>
      </w:pPr>
      <w:r>
        <w:rPr>
          <w:b/>
          <w:bCs/>
          <w:lang w:val="el" w:eastAsia="el"/>
        </w:rPr>
        <w:t>2.</w:t>
      </w:r>
      <w:r>
        <w:rPr>
          <w:lang w:val="el" w:eastAsia="el"/>
        </w:rPr>
        <w:t xml:space="preserve"> Η φορολογική αποθήκη πρέπει να τηρεί, σε ιδιαίτερο αρχείο, για το κάθε είδος μετουσιωτικής ύλης, τα σχετικά παραστατικά για την προμήθεια και τη διακίνηση της εν γένει προς τις εγκαταστάσεις της, καθώς και τα σχετικά πιστοποιητικά των προμηθευτών οίκων αυτής.</w:t>
      </w:r>
    </w:p>
    <w:p>
      <w:pPr>
        <w:spacing w:before="240" w:after="240"/>
        <w:rPr>
          <w:lang w:val="el" w:eastAsia="el"/>
        </w:rPr>
      </w:pPr>
      <w:r>
        <w:rPr>
          <w:lang w:val="el" w:eastAsia="el"/>
        </w:rPr>
        <w:t>Τα στοιχεία αυτά υποχρεούται να θέτει στη διάθεση των αρμοδίων χημικών υπαλλήλων της εποπτεύουσας τη φορολογική αποθήκη Χημικής Υπηρεσίας του Γ.Χ.Κ.</w:t>
      </w:r>
    </w:p>
    <w:p>
      <w:pPr>
        <w:pStyle w:val="MainText"/>
        <w:spacing w:before="120" w:after="0"/>
        <w:rPr>
          <w:lang w:val="el" w:eastAsia="el"/>
        </w:rPr>
      </w:pPr>
      <w:r>
        <w:rPr>
          <w:b/>
          <w:bCs/>
          <w:lang w:val="el" w:eastAsia="el"/>
        </w:rPr>
        <w:t>3.</w:t>
      </w:r>
      <w:r>
        <w:rPr>
          <w:lang w:val="el" w:eastAsia="el"/>
        </w:rPr>
        <w:t xml:space="preserve"> Οι αρμόδιοι χημικοί υπάλληλοι της εποπτεύουσας τη φορολογική αποθήκη Χημικής Υπηρεσίας του Γ.Χ.Κ., διενεργούν ελέγχους και επιθεωρήσεις των κατά τα ανωτέρω μετουσιωτικών υλών που συνίστανται στην εξέταση των σχετικών παραστατικών και πιστοποιητικών αυτών ως και των σχετικών εγγραφών στα τηρούμενα βάσει του Κ.Β.Σ. βιβλία και στοιχεία, στο φυσικό έλεγχο, ως και στη δειγματοληψία τούτων προς χημική εξέταση για την ταυτοποίηση και ενδεχομένως τον έλεγχο της καθαρότητας τους σύμφωνα με τα σχετικά παραστατικά, συντασσομένων περί τούτων σχετικών πρωτοκόλλων.</w:t>
      </w:r>
    </w:p>
    <w:p>
      <w:pPr>
        <w:spacing w:before="240" w:after="240"/>
        <w:rPr>
          <w:lang w:val="el" w:eastAsia="el"/>
        </w:rPr>
      </w:pPr>
      <w:r>
        <w:rPr>
          <w:lang w:val="el" w:eastAsia="el"/>
        </w:rPr>
        <w:t>Για την κατά τα ανωτέρω δειγματοληψία και τη χημική εξέταση των δειγμάτων, όσον αφορά τις τηρητέες διατυπώσεις και διαδικασίες, εφαρμόζονται κατ’ αναλογία οι σχετικές διατάξεις του Κώδικα Τροφίμων και Ποτών.</w:t>
      </w:r>
    </w:p>
    <w:p>
      <w:pPr>
        <w:pStyle w:val="MainText"/>
        <w:spacing w:before="120" w:after="0"/>
        <w:rPr>
          <w:lang w:val="el" w:eastAsia="el"/>
        </w:rPr>
      </w:pPr>
      <w:r>
        <w:rPr>
          <w:b/>
          <w:bCs/>
          <w:lang w:val="el" w:eastAsia="el"/>
        </w:rPr>
        <w:t>4.</w:t>
      </w:r>
      <w:r>
        <w:rPr>
          <w:lang w:val="el" w:eastAsia="el"/>
        </w:rPr>
        <w:t xml:space="preserve"> Η μη τήρηση των όρων και διατάξεων της παρούσας αποτελεί παράβαση η οποία τιμωρείται σύμφωνα με τις προβλεπόμενες, κατά περίπτωση, κυρώσεις από τις οικείες διατάξεις του Ν. 2969/01.</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Τα προσαρτημένα στην παρούσα, παραρτήματα Ι, ΙΙ και III αποτελούν αναπόσπαστο τμήμα αυτής.</w:t>
      </w:r>
    </w:p>
    <w:p>
      <w:pPr>
        <w:pStyle w:val="MainText"/>
        <w:spacing w:before="120" w:after="0"/>
        <w:rPr>
          <w:lang w:val="el" w:eastAsia="el"/>
        </w:rPr>
      </w:pPr>
      <w:r>
        <w:rPr>
          <w:b/>
          <w:bCs/>
          <w:lang w:val="el" w:eastAsia="el"/>
        </w:rPr>
        <w:t>2.</w:t>
      </w:r>
      <w:r>
        <w:rPr>
          <w:lang w:val="el" w:eastAsia="el"/>
        </w:rPr>
        <w:t xml:space="preserve"> Εκτός από τις διατάξεις της παραγράφου 2.β του άρθρου 1 της παρούσας των οποίων η ισχύς αρχίζει από 1-1-2011,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Από την έναρξη ισχύος της παρούσας παύει να ισχύει η υπ’ αριθμ 3023153/7104/0029/18-12-1992 Α.Υ.Ο. (ΦΕΚ 774/Β’).</w:t>
      </w:r>
    </w:p>
    <w:p>
      <w:pPr>
        <w:spacing w:before="240" w:after="240"/>
        <w:rPr>
          <w:lang w:val="el" w:eastAsia="el"/>
        </w:rPr>
      </w:pPr>
      <w:r>
        <w:rPr>
          <w:lang w:val="el" w:eastAsia="el"/>
        </w:rPr>
        <w:t>ΠΑΡΑΡΤΗΜΑ Ι</w:t>
      </w:r>
    </w:p>
    <w:p>
      <w:pPr>
        <w:spacing w:before="240" w:after="240"/>
        <w:rPr>
          <w:lang w:val="el" w:eastAsia="el"/>
        </w:rPr>
      </w:pPr>
      <w:r>
        <w:rPr>
          <w:lang w:val="el" w:eastAsia="el"/>
        </w:rPr>
        <w:t>Κατάλογος μετουσιωτικών υλών (είδος, ποσοστό) που χρησιμοποιούνται για την μετουσίωση της αιθυλικής αλκοόλης [γεωργικής προέλευσης (ουδέτερης) ως και συνθετικής] που προορίζεται για την παρασκευή αρωμάτων και καλλυντικών.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474"/>
        <w:gridCol w:w="2752"/>
        <w:gridCol w:w="1289"/>
        <w:gridCol w:w="820"/>
        <w:gridCol w:w="1334"/>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ΜΕΤΟΥΣΙΩΤΙΚΟ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 Number</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Ποσοστό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Βενζοϊκό Δενατόνιο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Denatonium Benzoate, (Bitrex)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[3734-33-6]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gr/λίτρο ένυδρου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Φθαλικός Διαιθυλεστέ- 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Diethyl Phthalate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Ισοπροπυλική Αλκοόλη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Isopropyl Alcohol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Μεθυλ-αιθυλ- κετόνη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Methyl Ethyl Ketone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Τριτοταγής Βουτανόλη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Tertiary Butyl Alcohol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Αρωματικοί παράγοντες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Perfume/ Flavour</w:t>
            </w:r>
          </w:p>
          <w:p>
            <w:pPr>
              <w:spacing w:before="240"/>
              <w:rPr>
                <w:b w:val="0"/>
                <w:bCs w:val="0"/>
                <w:i w:val="0"/>
                <w:iCs w:val="0"/>
                <w:smallCaps w:val="0"/>
                <w:color w:val="000000"/>
                <w:lang w:val="el" w:eastAsia="el"/>
              </w:rPr>
            </w:pPr>
            <w:r>
              <w:rPr>
                <w:b w:val="0"/>
                <w:bCs w:val="0"/>
                <w:i w:val="0"/>
                <w:iCs w:val="0"/>
                <w:smallCaps w:val="0"/>
                <w:color w:val="000000"/>
                <w:lang w:val="el" w:eastAsia="el"/>
              </w:rPr>
              <w:t>Compounds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ΠΑΡΑΡΤΗΜΑ II</w:t>
      </w:r>
    </w:p>
    <w:p>
      <w:pPr>
        <w:spacing w:before="240" w:after="240"/>
        <w:rPr>
          <w:lang w:val="el" w:eastAsia="el"/>
        </w:rPr>
      </w:pPr>
      <w:r>
        <w:rPr>
          <w:lang w:val="el" w:eastAsia="el"/>
        </w:rPr>
        <w:t>Κατάλογος μετουσιωτικών υλών (είδος, ποσοστό) που χρησιμοποιούνται για την μετουσίωση της (ουδέτερης αιθυλικής αλκοόλης γεωργικής προέλευσης) που προορίζεται για την παρασκευή προϊόντων για την περιποίηση του στόματος (στοματικά διαλύματα κ.λπ.).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665"/>
        <w:gridCol w:w="1974"/>
        <w:gridCol w:w="1545"/>
        <w:gridCol w:w="668"/>
        <w:gridCol w:w="1818"/>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ΜΕΤΟΥΣΙΩΤΙΚΑ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 Number</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Ποσοστό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Αρωματικοί παράγοντες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Perfume/ Flavour</w:t>
            </w:r>
          </w:p>
          <w:p>
            <w:pPr>
              <w:spacing w:before="240"/>
              <w:rPr>
                <w:b w:val="0"/>
                <w:bCs w:val="0"/>
                <w:i w:val="0"/>
                <w:iCs w:val="0"/>
                <w:smallCaps w:val="0"/>
                <w:color w:val="000000"/>
                <w:lang w:val="el" w:eastAsia="el"/>
              </w:rPr>
            </w:pPr>
            <w:r>
              <w:rPr>
                <w:b w:val="0"/>
                <w:bCs w:val="0"/>
                <w:i w:val="0"/>
                <w:iCs w:val="0"/>
                <w:smallCaps w:val="0"/>
                <w:color w:val="000000"/>
                <w:lang w:val="el" w:eastAsia="el"/>
              </w:rPr>
              <w:t>Compounds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gr/λίτρο ένυδρου</w:t>
            </w:r>
          </w:p>
        </w:tc>
      </w:tr>
    </w:tbl>
    <w:p>
      <w:pPr>
        <w:spacing w:before="240" w:after="240"/>
        <w:rPr>
          <w:lang w:val="el" w:eastAsia="el"/>
        </w:rPr>
      </w:pPr>
      <w:r>
        <w:rPr>
          <w:lang w:val="el" w:eastAsia="el"/>
        </w:rPr>
        <w:t>ΠΑΡΑΡΤΗΜΑ III</w:t>
      </w:r>
    </w:p>
    <w:p>
      <w:pPr>
        <w:spacing w:before="240" w:after="240"/>
        <w:rPr>
          <w:lang w:val="el" w:eastAsia="el"/>
        </w:rPr>
      </w:pPr>
      <w:r>
        <w:rPr>
          <w:lang w:val="el" w:eastAsia="el"/>
        </w:rPr>
        <w:t>Κατάλογος μετουσιωτικών υλών (είδος, ποσοστό) που χρησιμοποιούνται για την μετουσίωση της αιθυλικής αλκοόλης [γεωργικής προέλευσης (ουδέτερης και ακατέρ</w:t>
      </w:r>
    </w:p>
    <w:p>
      <w:pPr>
        <w:spacing w:before="240" w:after="240"/>
        <w:rPr>
          <w:lang w:val="el" w:eastAsia="el"/>
        </w:rPr>
      </w:pPr>
      <w:r>
        <w:rPr>
          <w:lang w:val="el" w:eastAsia="el"/>
        </w:rPr>
        <w:t>γαστης/ακαθαριστής) ως και συνθετικής] που προορίζεται για την παρασκευή προϊόντων, άλλων από τα προϊόντα που αναφέρονται στα Παραρτήματα Ι και II της παρούσας, που δεν προορίζονται για ανθρώπινη κατανάλωση.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635"/>
        <w:gridCol w:w="2334"/>
        <w:gridCol w:w="1296"/>
        <w:gridCol w:w="1126"/>
        <w:gridCol w:w="1278"/>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ΜΕΤΟΥΣΙΩΤΙΚΟ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 Number</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Ποσοστό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Διφαινυλα- 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Diphenylamine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Χιλ/μα ανα 100 χιλ/μα ένυδρου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Αμυλική αλκοόλη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n-Amyl Alcohol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Ακετόνη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Acetone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Βουτανόλη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n-Butyl Alcohol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Εξάνιο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n-Hexane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SHELL-SOL 73 (60% Τολουό- λιο + Ξυλόλιο)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SHELL-SOL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Αιθυλενογλυ- κολο-μονοαι- θέρας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Ethylene glycol monomethyl ether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[109-86-4]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Βουτυλ-οξιτό- λη (2-Βουτο- ξυ-αιθανόλη)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Butyl Oxitol (2 Butoxyethanol)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Οξεικός Αιθυ- λεστέρας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Ethyl Acetate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[141-78-6]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Προπυλενο- γλυκόλη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Propylene Glycol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[57-55-6]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Προπυλε- νογλυκολο -βουτυλαιθε- 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Propylene Glycolmonobutyl ether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[513166-8]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Βενζοϊκό Δενατόνιο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Denatonium Benzoate, (Bitrex)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[373433-6]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Απριλίου 2010</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ΓΕΩΡΓΙΟΣ ΠΑΠΑΚΩΝΣΤΑΝΤΙΝΟΥ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