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ΠΡΑΞΕΙΣ ΠΟΥ ΕΚΔΙΔΟΝΤΑΙ ΑΠΟ ΦΟΡΕΙΣ ΠΟΥ ΕΧΟΥΝΣΥΣΤΑΘΕΙ ΜΕ ΔΙΕΘΝΕΙΣ ΣΥΜΦΩΝΙΕΣ</w:t>
      </w:r>
    </w:p>
    <w:p>
      <w:pPr>
        <w:pStyle w:val="enacting"/>
        <w:spacing w:before="120" w:after="0"/>
        <w:rPr>
          <w:lang w:val="el" w:eastAsia="el"/>
        </w:rPr>
      </w:pPr>
      <w:r>
        <w:rPr>
          <w:b/>
          <w:bCs/>
          <w:lang w:val="el" w:eastAsia="el"/>
        </w:rPr>
        <w:t>ΑΠΟΦΑΣΗ αριθ. 1/2010 ΤΟΥ ΣΥΜΒΟΥΛΙΟΥ ΣΥΝΔΕΣΗΣ ΕΕ–ΑΛΓΕΡΙΑΣ</w:t>
      </w:r>
      <w:r>
        <w:rPr>
          <w:lang w:val="el" w:eastAsia="el"/>
        </w:rPr>
        <w:br/>
      </w:r>
      <w:r>
        <w:rPr>
          <w:b/>
          <w:bCs/>
          <w:lang w:val="el" w:eastAsia="el"/>
        </w:rPr>
        <w:t>της 3ης Αυγούστου 2010</w:t>
      </w:r>
      <w:r>
        <w:rPr>
          <w:lang w:val="el" w:eastAsia="el"/>
        </w:rPr>
        <w:br/>
      </w:r>
      <w:r>
        <w:rPr>
          <w:b/>
          <w:bCs/>
          <w:lang w:val="el" w:eastAsia="el"/>
        </w:rPr>
        <w:t xml:space="preserve">για την τροποποίηση του άρθρου 15 παράγραφος 7 του πρωτοκόλλου αριθ. 6 </w:t>
      </w:r>
      <w:r>
        <w:rPr>
          <w:lang w:val="el" w:eastAsia="el"/>
        </w:rPr>
        <w:br/>
      </w:r>
      <w:r>
        <w:rPr>
          <w:b/>
          <w:bCs/>
          <w:lang w:val="el" w:eastAsia="el"/>
        </w:rPr>
        <w:t>της ευρωμεσογειακήςσυμφωνίας σύνδεσης μεταξύ της Ευρωπαϊκής Κοινότητας και των κρατών μελών της, αφενός, και τηςΛαϊκής Δημοκρατίας της Αλγερίας, αφετέρου, σχετικά με τον ορισμό της έννοιας «καταγόμενα προϊόντα»ή «προϊόντα καταγωγής» και τις μεθόδους συνεργασίας</w:t>
      </w:r>
      <w:r>
        <w:rPr>
          <w:lang w:val="el" w:eastAsia="el"/>
        </w:rPr>
        <w:br/>
      </w:r>
      <w:r>
        <w:rPr>
          <w:lang w:val="el" w:eastAsia="el"/>
        </w:rPr>
        <w:t>(2010/566/ΕΕ)</w:t>
      </w:r>
    </w:p>
    <w:p>
      <w:pPr>
        <w:pStyle w:val="PreambelText"/>
        <w:spacing w:before="240" w:after="240"/>
        <w:rPr>
          <w:lang w:val="el" w:eastAsia="el"/>
        </w:rPr>
      </w:pPr>
      <w:r>
        <w:rPr>
          <w:lang w:val="el" w:eastAsia="el"/>
        </w:rPr>
        <w:t>(5) Δεδομένου ότι το άρθρο 15 παράγραφος 7 του πρωτοκόλλου αριθ. 6 της συμφωνίας έπαυσε να εφαρμόζεται την 31η Δεκεμβρίου 2009, η παρούσα απόφαση θα πρέπει να εφαρμόζεται από την 1η Ιανουαρίου 2010,</w:t>
      </w:r>
    </w:p>
    <w:p>
      <w:pPr>
        <w:pStyle w:val="PreambelText"/>
        <w:spacing w:before="240" w:after="240"/>
        <w:rPr>
          <w:lang w:val="el" w:eastAsia="el"/>
        </w:rPr>
      </w:pPr>
      <w:r>
        <w:rPr>
          <w:lang w:val="el" w:eastAsia="el"/>
        </w:rPr>
        <w:t>Έχοντας υπόψη την ευρωμεσογειακή συμφωνία σύνδεσης μεταξύ της Ευρωπαϊκής Κοινότητας και των κρατών μελών της, αφενός, και της Λαϊκής Δημοκρατίας της Αλγερίας, αφετέρου, και ιδίως το άρθρο 39 του πρωτοκόλλου αριθ. 6,</w:t>
      </w:r>
    </w:p>
    <w:p>
      <w:pPr>
        <w:pStyle w:val="PreambelText"/>
        <w:spacing w:before="240" w:after="240"/>
        <w:rPr>
          <w:lang w:val="el" w:eastAsia="el"/>
        </w:rPr>
      </w:pPr>
      <w:r>
        <w:rPr>
          <w:lang w:val="el" w:eastAsia="el"/>
        </w:rPr>
        <w:t>Εκτιμώντας τα ακόλουθα:</w:t>
      </w:r>
    </w:p>
    <w:p>
      <w:pPr>
        <w:pStyle w:val="PreambelText"/>
        <w:spacing w:before="240" w:after="240"/>
        <w:rPr>
          <w:lang w:val="el" w:eastAsia="el"/>
        </w:rPr>
      </w:pPr>
      <w:r>
        <w:rPr>
          <w:lang w:val="el" w:eastAsia="el"/>
        </w:rPr>
        <w:t>(1) Το άρθρο 15 παράγραφος 7 του πρωτοκόλλου αριθ. 6 (</w:t>
      </w:r>
      <w:r>
        <w:rPr>
          <w:sz w:val="30"/>
          <w:szCs w:val="30"/>
          <w:vertAlign w:val="superscript"/>
          <w:lang w:val="el" w:eastAsia="el"/>
        </w:rPr>
        <w:t>1</w:t>
      </w:r>
      <w:r>
        <w:rPr>
          <w:lang w:val="el" w:eastAsia="el"/>
        </w:rPr>
        <w:t>) της ευρωμεσογειακής συμφωνίας σύνδεσης μεταξύ της Ευρωπαϊκής Κοινότητας και των κρατών μελών της, αφενός, και της Λαϊκής Δημοκρατίας της Αλγερίας, αφετέρου (</w:t>
      </w:r>
      <w:r>
        <w:rPr>
          <w:sz w:val="30"/>
          <w:szCs w:val="30"/>
          <w:vertAlign w:val="superscript"/>
          <w:lang w:val="el" w:eastAsia="el"/>
        </w:rPr>
        <w:t>2</w:t>
      </w:r>
      <w:r>
        <w:rPr>
          <w:lang w:val="el" w:eastAsia="el"/>
        </w:rPr>
        <w:t>) (η οποία καλείται στο εξής «η συμφωνία»), επιτρέπει, υπό ορισμένους όρους, την επιστροφή ή απαλλαγή από δασμούς ή άλλες επιβαρύνσεις ισοδυνάμου αποτελέσματος, μέχρι τις 31 Δεκεμβρίου 2009.</w:t>
      </w:r>
    </w:p>
    <w:p>
      <w:pPr>
        <w:pStyle w:val="PreambelText"/>
        <w:spacing w:before="240" w:after="240"/>
        <w:rPr>
          <w:lang w:val="el" w:eastAsia="el"/>
        </w:rPr>
      </w:pPr>
      <w:r>
        <w:rPr>
          <w:lang w:val="el" w:eastAsia="el"/>
        </w:rPr>
        <w:t>(2) Για να εξασφαλιστεί σαφήνεια, δυνατότητα μακροπρόθεσμων οικονομικών προβλέψεων και ασφάλεια δικαίου στους οικονομικούς φορείς, τα συμβαλλόμενα μέρη συμφώνησαν να παρατείνουν την εφαρμογή του άρθρου 15 παράγραφος 7 του πρωτοκόλλου αριθ. 6 της συμφωνίας κατά τρία έτη, αρχής γενομένης από 1ης Ιανουαρίου 2010.</w:t>
      </w:r>
    </w:p>
    <w:p>
      <w:pPr>
        <w:pStyle w:val="PreambelText"/>
        <w:spacing w:before="240" w:after="240"/>
        <w:rPr>
          <w:lang w:val="el" w:eastAsia="el"/>
        </w:rPr>
      </w:pPr>
      <w:r>
        <w:rPr>
          <w:lang w:val="el" w:eastAsia="el"/>
        </w:rPr>
        <w:t>(3) Εξάλλου, θα πρέπει να προσαρμοστούν οι συντελεστές των δασμολογικών επιβαρύνσεων που εφαρμόζονται σήμερα στην Αλγερία, ώστε να ευθυγραμμιστούν με εκείνους που ισχύουν στην Ευρωπαϊκή Ένωση.</w:t>
      </w:r>
    </w:p>
    <w:p>
      <w:pPr>
        <w:pStyle w:val="Heading6"/>
        <w:spacing w:before="240" w:after="240"/>
        <w:rPr>
          <w:lang w:val="el" w:eastAsia="el"/>
        </w:rPr>
      </w:pPr>
      <w:r>
        <w:rPr>
          <w:rStyle w:val="article-num"/>
          <w:i/>
          <w:iCs/>
          <w:lang w:val="el" w:eastAsia="el"/>
        </w:rPr>
        <w:t>Άρθρο 1</w:t>
      </w:r>
    </w:p>
    <w:p>
      <w:pPr>
        <w:spacing w:before="240" w:after="240"/>
        <w:rPr>
          <w:lang w:val="el" w:eastAsia="el"/>
        </w:rPr>
      </w:pPr>
      <w:r>
        <w:rPr>
          <w:lang w:val="el" w:eastAsia="el"/>
        </w:rPr>
        <w:t>Το άρθρο 15 παράγραφος 7 του πρωτοκόλλου αριθ. 6 της ευρω- μεσογειακής συμφωνίας σύνδεσης μεταξύ της Ευρωπαϊκής Κοινότητας και των κρατών μελών της, αφενός, και της Λαϊκής Δημοκρατίας της Αλγερίας, αφετέρου, σχετικά με τον ορισμό της έννοιας «καταγόμενα προϊόντα» ή «προϊόντα καταγωγής» και τις μεθόδους συνεργασίας αντικαθίσταται από το ακόλουθο κείμενο:</w:t>
      </w:r>
    </w:p>
    <w:p>
      <w:pPr>
        <w:spacing w:before="240" w:after="240"/>
        <w:rPr>
          <w:lang w:val="el" w:eastAsia="el"/>
        </w:rPr>
      </w:pPr>
      <w:r>
        <w:rPr>
          <w:lang w:val="el" w:eastAsia="el"/>
        </w:rPr>
        <w:t>«7. Παρά την παράγραφο 1, η Αλγερία δύναται να εφαρμόζει για τα προϊόντα, με εξαίρεση εκείνα που υπάγονται στα κεφάλαια 1 έως 24 του εναρμονισμένου συστήματος, ρυθμίσεις για επιστροφή δασμών ή για απαλλαγή από δασμούς ή επιβαρύνσεις ισοδυνάμου αποτελέσματος, που ισχύουν για μη καταγόμενες ύλες που χρησιμοποιούνται για την κατασκευή προϊόντων καταγωγής, υπό την επιφύλαξη των ακόλουθων διατάξεων:</w:t>
      </w:r>
    </w:p>
    <w:p>
      <w:pPr>
        <w:spacing w:before="240" w:after="240"/>
        <w:rPr>
          <w:lang w:val="el" w:eastAsia="el"/>
        </w:rPr>
      </w:pPr>
      <w:r>
        <w:rPr>
          <w:lang w:val="el" w:eastAsia="el"/>
        </w:rPr>
        <w:t>α) εισπράττεται δασμολογική επιβάρυνση 4 % για προϊόντα που υπάγονται στα κεφάλαια 25 έως 49 και 64 έως 97 του εναρμονισμένου συστήματος ή χαμηλότερος δασμός που ισχύει στην Αλγερία·</w:t>
      </w:r>
    </w:p>
    <w:p>
      <w:pPr>
        <w:spacing w:before="240" w:after="240"/>
        <w:rPr>
          <w:lang w:val="el" w:eastAsia="el"/>
        </w:rPr>
      </w:pPr>
      <w:r>
        <w:rPr>
          <w:lang w:val="el" w:eastAsia="el"/>
        </w:rPr>
        <w:t>β) εισπράττεται δασμολογική επιβάρυνση 8 % για προϊόντα που υπάγονται στα κεφάλαια 50 έως 63 του εναρμονισμένου συστήματος ή χαμηλότερος δασμός που ισχύει στην Αλγερία.</w:t>
      </w:r>
    </w:p>
    <w:p>
      <w:pPr>
        <w:spacing w:before="240" w:after="240"/>
        <w:rPr>
          <w:lang w:val="el" w:eastAsia="el"/>
        </w:rPr>
      </w:pPr>
      <w:r>
        <w:rPr>
          <w:lang w:val="el" w:eastAsia="el"/>
        </w:rPr>
        <w:t>Το πρωτόκολλο αριθ. 6 της συμφωνίας θα πρέπει επομένως να τροποποιηθεί ανάλογα.</w:t>
      </w:r>
    </w:p>
    <w:p>
      <w:pPr>
        <w:spacing w:before="240" w:after="240"/>
        <w:rPr>
          <w:lang w:val="el" w:eastAsia="el"/>
        </w:rPr>
      </w:pPr>
      <w:r>
        <w:rPr>
          <w:lang w:val="el" w:eastAsia="el"/>
        </w:rPr>
        <w:t xml:space="preserve">Η παρούσα παράγραφος εφαρμόζεται μέχρι τις 31 </w:t>
      </w:r>
    </w:p>
    <w:p>
      <w:pPr>
        <w:spacing w:before="240" w:after="240"/>
        <w:rPr>
          <w:lang w:val="el" w:eastAsia="el"/>
        </w:rPr>
      </w:pPr>
      <w:r>
        <w:rPr>
          <w:lang w:val="el" w:eastAsia="el"/>
        </w:rPr>
        <w:t>Δεκεμβρίου2012 και μπορεί να αναθεωρηθεί κατόπιν κοινής συμφωνίας.».</w:t>
      </w:r>
    </w:p>
    <w:p>
      <w:pPr>
        <w:pStyle w:val="Heading6"/>
        <w:spacing w:before="240" w:after="240"/>
        <w:rPr>
          <w:lang w:val="el" w:eastAsia="el"/>
        </w:rPr>
      </w:pPr>
      <w:r>
        <w:rPr>
          <w:rStyle w:val="article-num"/>
          <w:i/>
          <w:iCs/>
          <w:lang w:val="el" w:eastAsia="el"/>
        </w:rPr>
        <w:t>Άρθρο 2</w:t>
      </w:r>
    </w:p>
    <w:p>
      <w:pPr>
        <w:spacing w:before="240" w:after="240"/>
        <w:rPr>
          <w:lang w:val="el" w:eastAsia="el"/>
        </w:rPr>
      </w:pPr>
      <w:r>
        <w:rPr>
          <w:lang w:val="el" w:eastAsia="el"/>
        </w:rPr>
        <w:t>Η παρούσα απόφαση αρχίζει να ισχύει την ημέρα της έκδοσής της.</w:t>
      </w:r>
    </w:p>
    <w:p>
      <w:pPr>
        <w:spacing w:before="240" w:after="240"/>
        <w:rPr>
          <w:lang w:val="el" w:eastAsia="el"/>
        </w:rPr>
      </w:pPr>
      <w:r>
        <w:rPr>
          <w:lang w:val="el" w:eastAsia="el"/>
        </w:rPr>
        <w:t>Εφαρμόζεται από την 1η Ιανουαρίου 2010.</w:t>
      </w:r>
    </w:p>
    <w:p>
      <w:pPr>
        <w:spacing w:before="240" w:after="240"/>
        <w:rPr>
          <w:lang w:val="el" w:eastAsia="el"/>
        </w:rPr>
      </w:pPr>
      <w:r>
        <w:rPr>
          <w:lang w:val="el" w:eastAsia="el"/>
        </w:rPr>
        <w:t>Βρυξέλλες, 3 Αυγούστου 2010.</w:t>
      </w:r>
    </w:p>
    <w:p>
      <w:pPr>
        <w:spacing w:before="240" w:after="240"/>
        <w:rPr>
          <w:lang w:val="el" w:eastAsia="el"/>
        </w:rPr>
      </w:pPr>
      <w:r>
        <w:rPr>
          <w:i/>
          <w:iCs/>
          <w:lang w:val="el" w:eastAsia="el"/>
        </w:rPr>
        <w:t>Για το Συμβούλιο Σύνδεσης ΕΕ–ΑλγερίαςΗ Πρόεδρος</w:t>
      </w:r>
    </w:p>
    <w:p>
      <w:pPr>
        <w:spacing w:before="240" w:after="240"/>
        <w:rPr>
          <w:lang w:val="el" w:eastAsia="el"/>
        </w:rPr>
      </w:pPr>
      <w:r>
        <w:rPr>
          <w:lang w:val="el" w:eastAsia="el"/>
        </w:rPr>
        <w:t>C. ASHTON</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