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 ΥΠΟΥΡΓΕΙΟ ΟΙΚΟΝΟΜΙΚΩΝ</w:t>
      </w:r>
    </w:p>
    <w:p>
      <w:pPr>
        <w:pStyle w:val="PreambelText"/>
        <w:spacing w:before="240" w:after="240"/>
        <w:rPr>
          <w:lang w:val="el" w:eastAsia="el"/>
        </w:rPr>
      </w:pPr>
      <w:r>
        <w:rPr>
          <w:b/>
          <w:bCs/>
          <w:lang w:val="el" w:eastAsia="el"/>
        </w:rPr>
        <w:t>ΓΕΝΙΚΗ ΓΡΑΜΜΑΤΕΙΑ</w:t>
      </w:r>
    </w:p>
    <w:p>
      <w:pPr>
        <w:pStyle w:val="PreambelText"/>
        <w:spacing w:before="240" w:after="240"/>
        <w:rPr>
          <w:lang w:val="el" w:eastAsia="el"/>
        </w:rPr>
      </w:pPr>
      <w:r>
        <w:rPr>
          <w:b/>
          <w:bCs/>
          <w:lang w:val="el" w:eastAsia="el"/>
        </w:rPr>
        <w:t>ΦΟΡΟΛΟΓΙΚΩΝ &amp; ΤΕΛΩΝΕΙΑΚΩΝ ΘΕΜΑΤΩΝ ΓΕΝΙΚΗ ΔΙΕΥΘΥΝΣΗ ΦΟΡΟΛΟΓΙΑΣ</w:t>
      </w:r>
    </w:p>
    <w:p>
      <w:pPr>
        <w:pStyle w:val="PreambelText"/>
        <w:spacing w:before="240" w:after="240"/>
        <w:rPr>
          <w:lang w:val="el" w:eastAsia="el"/>
        </w:rPr>
      </w:pPr>
      <w:r>
        <w:rPr>
          <w:lang w:val="el" w:eastAsia="el"/>
        </w:rPr>
        <w:t xml:space="preserve">1. </w:t>
      </w:r>
      <w:r>
        <w:rPr>
          <w:b/>
          <w:bCs/>
          <w:lang w:val="el" w:eastAsia="el"/>
        </w:rPr>
        <w:t>14</w:t>
      </w:r>
      <w:r>
        <w:rPr>
          <w:b/>
          <w:bCs/>
          <w:sz w:val="30"/>
          <w:szCs w:val="30"/>
          <w:vertAlign w:val="superscript"/>
          <w:lang w:val="el" w:eastAsia="el"/>
        </w:rPr>
        <w:t>η</w:t>
      </w:r>
      <w:r>
        <w:rPr>
          <w:b/>
          <w:bCs/>
          <w:lang w:val="el" w:eastAsia="el"/>
        </w:rPr>
        <w:t xml:space="preserve"> Δ/ΝΣΗ ΦΠΑ</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lang w:val="el" w:eastAsia="el"/>
        </w:rPr>
        <w:t xml:space="preserve">2. </w:t>
      </w:r>
      <w:r>
        <w:rPr>
          <w:b/>
          <w:bCs/>
          <w:lang w:val="el" w:eastAsia="el"/>
        </w:rPr>
        <w:t>15</w:t>
      </w:r>
      <w:r>
        <w:rPr>
          <w:b/>
          <w:bCs/>
          <w:sz w:val="30"/>
          <w:szCs w:val="30"/>
          <w:vertAlign w:val="superscript"/>
          <w:lang w:val="el" w:eastAsia="el"/>
        </w:rPr>
        <w:t>η</w:t>
      </w:r>
      <w:r>
        <w:rPr>
          <w:b/>
          <w:bCs/>
          <w:lang w:val="el" w:eastAsia="el"/>
        </w:rPr>
        <w:t xml:space="preserve"> Δ/ΝΣΗ ΚΒΣ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lang w:val="el" w:eastAsia="el"/>
        </w:rPr>
        <w:t xml:space="preserve">3. </w:t>
      </w:r>
      <w:r>
        <w:rPr>
          <w:b/>
          <w:bCs/>
          <w:lang w:val="el" w:eastAsia="el"/>
        </w:rPr>
        <w:t>12</w:t>
      </w:r>
      <w:r>
        <w:rPr>
          <w:b/>
          <w:bCs/>
          <w:sz w:val="30"/>
          <w:szCs w:val="30"/>
          <w:vertAlign w:val="superscript"/>
          <w:lang w:val="el" w:eastAsia="el"/>
        </w:rPr>
        <w:t>η</w:t>
      </w:r>
      <w:r>
        <w:rPr>
          <w:b/>
          <w:bCs/>
          <w:lang w:val="el" w:eastAsia="el"/>
        </w:rPr>
        <w:t xml:space="preserve"> Δ/ΝΣΗ ΦΟΡΟΛΟΓΙΑΣ ΕΙΣΟΔΗΜΑΤΟΣ ΤΜΗΜΑ Α΄</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Λ. Αμβρουδή</w:t>
      </w:r>
    </w:p>
    <w:p>
      <w:pPr>
        <w:spacing w:before="240" w:after="240"/>
        <w:rPr>
          <w:lang w:val="el" w:eastAsia="el"/>
        </w:rPr>
      </w:pPr>
      <w:r>
        <w:rPr>
          <w:b/>
          <w:bCs/>
          <w:lang w:val="el" w:eastAsia="el"/>
        </w:rPr>
        <w:t>Ελ. Φραγκούλη</w:t>
      </w:r>
    </w:p>
    <w:p>
      <w:pPr>
        <w:spacing w:before="240" w:after="240"/>
        <w:rPr>
          <w:lang w:val="el" w:eastAsia="el"/>
        </w:rPr>
      </w:pPr>
      <w:r>
        <w:rPr>
          <w:b/>
          <w:bCs/>
          <w:lang w:val="el" w:eastAsia="el"/>
        </w:rPr>
        <w:t>Τηλέφωνο : 210- 3645848</w:t>
      </w:r>
    </w:p>
    <w:p>
      <w:pPr>
        <w:spacing w:before="240" w:after="240"/>
        <w:rPr>
          <w:lang w:val="el" w:eastAsia="el"/>
        </w:rPr>
      </w:pPr>
      <w:r>
        <w:rPr>
          <w:b/>
          <w:bCs/>
          <w:lang w:val="el" w:eastAsia="el"/>
        </w:rPr>
        <w:t>210- 3610065 (ΚΒΣ)</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dfpa.b1@1992.syzefxis.gov.gr</w:t>
        </w:r>
      </w:hyperlink>
    </w:p>
    <w:p>
      <w:pPr>
        <w:spacing w:before="240" w:after="240"/>
        <w:rPr>
          <w:lang w:val="el" w:eastAsia="el"/>
        </w:rPr>
      </w:pPr>
      <w:r>
        <w:rPr>
          <w:b/>
          <w:bCs/>
          <w:lang w:val="el" w:eastAsia="el"/>
        </w:rPr>
        <w:t xml:space="preserve">Θέμα: </w:t>
      </w:r>
      <w:r>
        <w:rPr>
          <w:lang w:val="el" w:eastAsia="el"/>
        </w:rPr>
        <w:t>Επιστροφή ΦΠΑ στους αγρότες του ειδικού καθεστώτος για πωλήσεις που υπάγονται στο κανονικό καθεστώς ΦΠΑ</w:t>
      </w:r>
    </w:p>
    <w:p>
      <w:pPr>
        <w:spacing w:before="240" w:after="240"/>
        <w:rPr>
          <w:lang w:val="el" w:eastAsia="el"/>
        </w:rPr>
      </w:pPr>
      <w:r>
        <w:rPr>
          <w:b/>
          <w:bCs/>
          <w:lang w:val="el" w:eastAsia="el"/>
        </w:rPr>
        <w:t>ΑΠΟΦΑΣΗ 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Κώδικα Φ.Π.Α. (ν.2859/2000), και ειδικότερα:</w:t>
      </w:r>
    </w:p>
    <w:p>
      <w:pPr>
        <w:pStyle w:val="StructureList1"/>
        <w:spacing w:before="120" w:after="0"/>
        <w:rPr>
          <w:lang w:val="el" w:eastAsia="el"/>
        </w:rPr>
      </w:pPr>
      <w:r>
        <w:rPr>
          <w:lang w:val="el" w:eastAsia="el"/>
        </w:rPr>
        <w:t>α)</w:t>
      </w:r>
      <w:r>
        <w:rPr>
          <w:lang w:val="en" w:eastAsia="en"/>
        </w:rPr>
        <w:tab/>
      </w:r>
      <w:r>
        <w:rPr>
          <w:lang w:val="el" w:eastAsia="el"/>
        </w:rPr>
        <w:t>τις διατάξεις των παραγράφων 2,5 και 15 του άρθρου 41</w:t>
      </w:r>
    </w:p>
    <w:p>
      <w:pPr>
        <w:pStyle w:val="StructureList1"/>
        <w:spacing w:before="120" w:after="0"/>
        <w:rPr>
          <w:lang w:val="el" w:eastAsia="el"/>
        </w:rPr>
      </w:pPr>
      <w:r>
        <w:rPr>
          <w:lang w:val="el" w:eastAsia="el"/>
        </w:rPr>
        <w:t>β)</w:t>
      </w:r>
      <w:r>
        <w:rPr>
          <w:lang w:val="en" w:eastAsia="en"/>
        </w:rPr>
        <w:tab/>
      </w:r>
      <w:r>
        <w:rPr>
          <w:lang w:val="el" w:eastAsia="el"/>
        </w:rPr>
        <w:t>τις διατάξεις της παραγράφου 2 του άρθρου 19</w:t>
      </w:r>
    </w:p>
    <w:p>
      <w:pPr>
        <w:pStyle w:val="StructureList1"/>
        <w:spacing w:before="120" w:after="0"/>
        <w:rPr>
          <w:lang w:val="el" w:eastAsia="el"/>
        </w:rPr>
      </w:pPr>
      <w:r>
        <w:rPr>
          <w:lang w:val="el" w:eastAsia="el"/>
        </w:rPr>
        <w:t>γ)</w:t>
      </w:r>
      <w:r>
        <w:rPr>
          <w:lang w:val="en" w:eastAsia="en"/>
        </w:rPr>
        <w:tab/>
      </w:r>
      <w:r>
        <w:rPr>
          <w:lang w:val="el" w:eastAsia="el"/>
        </w:rPr>
        <w:t>τις διατάξεις του άρθρου 38</w:t>
      </w:r>
    </w:p>
    <w:p>
      <w:pPr>
        <w:pStyle w:val="StructureList1"/>
        <w:spacing w:before="120" w:after="0"/>
        <w:rPr>
          <w:lang w:val="el" w:eastAsia="el"/>
        </w:rPr>
      </w:pPr>
      <w:r>
        <w:rPr>
          <w:lang w:val="el" w:eastAsia="el"/>
        </w:rPr>
        <w:t>δ)</w:t>
      </w:r>
      <w:r>
        <w:rPr>
          <w:lang w:val="en" w:eastAsia="en"/>
        </w:rPr>
        <w:tab/>
      </w:r>
      <w:r>
        <w:rPr>
          <w:lang w:val="el" w:eastAsia="el"/>
        </w:rPr>
        <w:t>τις διατάξεις του άρθρου 57</w:t>
      </w:r>
    </w:p>
    <w:p>
      <w:pPr>
        <w:pStyle w:val="StructureList1"/>
        <w:spacing w:before="120" w:after="0"/>
        <w:rPr>
          <w:lang w:val="el" w:eastAsia="el"/>
        </w:rPr>
      </w:pPr>
      <w:r>
        <w:rPr>
          <w:lang w:val="el" w:eastAsia="el"/>
        </w:rPr>
        <w:t>ε)</w:t>
      </w:r>
      <w:r>
        <w:rPr>
          <w:lang w:val="en" w:eastAsia="en"/>
        </w:rPr>
        <w:tab/>
      </w:r>
      <w:r>
        <w:rPr>
          <w:lang w:val="el" w:eastAsia="el"/>
        </w:rPr>
        <w:t>τις διατάξεις της παραγράφου 3 του άρθρου 64.</w:t>
      </w:r>
    </w:p>
    <w:p>
      <w:pPr>
        <w:spacing w:before="240" w:after="240"/>
        <w:rPr>
          <w:lang w:val="el" w:eastAsia="el"/>
        </w:rPr>
      </w:pPr>
      <w:r>
        <w:rPr>
          <w:lang w:val="el" w:eastAsia="el"/>
        </w:rPr>
        <w:t>2. Την ΑΥΟ ΠΟΛ.1065/18.5.2010 (ΦΕΚ 751/Β/31.5.10)</w:t>
      </w:r>
    </w:p>
    <w:p>
      <w:pPr>
        <w:spacing w:before="240" w:after="240"/>
        <w:rPr>
          <w:lang w:val="el" w:eastAsia="el"/>
        </w:rPr>
      </w:pPr>
      <w:r>
        <w:rPr>
          <w:lang w:val="el" w:eastAsia="el"/>
        </w:rPr>
        <w:t>3. Την ΑΥΟ Π.6793/647/7.10.1986 (ΦΕΚ 774/Β/31.10.86)</w:t>
      </w:r>
    </w:p>
    <w:p>
      <w:pPr>
        <w:spacing w:before="240" w:after="240"/>
        <w:rPr>
          <w:lang w:val="el" w:eastAsia="el"/>
        </w:rPr>
      </w:pPr>
      <w:r>
        <w:rPr>
          <w:lang w:val="el" w:eastAsia="el"/>
        </w:rPr>
        <w:t>4. Την ΑΥΟ Π.953/432/64/ΠΟΛ. 41/3.2.1988 (ΦΕΚ 107/Β/25.2.88)</w:t>
      </w:r>
    </w:p>
    <w:p>
      <w:pPr>
        <w:spacing w:before="240" w:after="240"/>
        <w:rPr>
          <w:lang w:val="el" w:eastAsia="el"/>
        </w:rPr>
      </w:pPr>
      <w:r>
        <w:rPr>
          <w:lang w:val="el" w:eastAsia="el"/>
        </w:rPr>
        <w:t>5. Την κοινή απόφαση του Πρωθυπουργού και του Υπουργού Οικονομικών 2672/3.12.2009 (ΦΕΚ 2408/Β) περί ανάθεσης αρμοδιοτήτων.</w:t>
      </w:r>
    </w:p>
    <w:p>
      <w:pPr>
        <w:spacing w:before="240" w:after="240"/>
        <w:rPr>
          <w:lang w:val="el" w:eastAsia="el"/>
        </w:rPr>
      </w:pPr>
      <w:r>
        <w:rPr>
          <w:lang w:val="el" w:eastAsia="el"/>
        </w:rPr>
        <w:t>6.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Η επιστροφή που προβλέπεται από τις διατάξεις της παραγράφου 2 του άρθρου 41 του Κώδικα ΦΠΑ (ν. 2859/2000), για τους αγρότες του ειδικού καθεστώτος του ίδιου άρθρου, οι οποίοι πωλούν αγροτικά προϊόντα παραγωγής τους από δικό τους κατάστημα ή από λαϊκές αγορές ή τα εξάγουν ή τα παραδίδουν σε άλλο κράτος - μέλος, πραγματοποιείται δια συμψηφισμού με το φόρο εκροών που προκύπτει για κάθε φορολογική περίοδο από τις ανωτέρω δραστηριότητες που υπάγονται στο κανονικό καθεστώς ΦΠΑ.</w:t>
      </w:r>
    </w:p>
    <w:p>
      <w:pPr>
        <w:spacing w:before="240" w:after="240"/>
        <w:rPr>
          <w:lang w:val="el" w:eastAsia="el"/>
        </w:rPr>
      </w:pPr>
      <w:r>
        <w:rPr>
          <w:lang w:val="el" w:eastAsia="el"/>
        </w:rPr>
        <w:t>Στην περίπτωση που για την δραστηριότητα αυτή προκύπτει πιστωτικό υπόλοιπο, επιστρέφεται με την απόφαση 1060481/4643/810/Α0014/ΠΟΛ1073/21.07.04.</w:t>
      </w:r>
    </w:p>
    <w:p>
      <w:pPr>
        <w:spacing w:before="240" w:after="240"/>
        <w:rPr>
          <w:lang w:val="el" w:eastAsia="el"/>
        </w:rPr>
      </w:pPr>
      <w:r>
        <w:rPr>
          <w:lang w:val="el" w:eastAsia="el"/>
        </w:rPr>
        <w:t>2. Το περιεχόμενο του ειδικού στοιχείου της παραγράφου 2 του άρθρου 41, του Κώδικα ΦΠΑ, το οποίο εκδίδεται για την παράδοση αγροτικών προϊόντων από την αγροτική εκμετάλλευση στην εμπορική δραστηριότητα του αγρότη του ειδικού καθεστώτος, ορίζεται όπως το υπόδειγμα που προσαρτάται στην παρούσα απόφαση.</w:t>
      </w:r>
    </w:p>
    <w:p>
      <w:pPr>
        <w:spacing w:before="240" w:after="240"/>
        <w:rPr>
          <w:lang w:val="el" w:eastAsia="el"/>
        </w:rPr>
      </w:pPr>
      <w:r>
        <w:rPr>
          <w:lang w:val="el" w:eastAsia="el"/>
        </w:rPr>
        <w:t>Το ανωτέρω ειδικό στοιχείο εκδίδεται θεωρημένο, για κάθε παράδοση. Στην περίπτωση που έχουν εκδοθεί Δελτία Αποστολής, μπορεί να εκδίδεται ανά εβδομάδα, δεκαήμερο, δεκαπενθήμερο, ή μήνα, για τις παραδόσεις που πραγματοποιήθηκαν εντός των χρονικών αυτών διαστημάτων. Στην περίπτωση που το εν λόγω στοιχείο εκδίδεται κάθε μήνα, μπορεί να εκδίδεται μέχρι την 15</w:t>
      </w:r>
      <w:r>
        <w:rPr>
          <w:sz w:val="30"/>
          <w:szCs w:val="30"/>
          <w:vertAlign w:val="superscript"/>
          <w:lang w:val="el" w:eastAsia="el"/>
        </w:rPr>
        <w:t>η</w:t>
      </w:r>
      <w:r>
        <w:rPr>
          <w:lang w:val="el" w:eastAsia="el"/>
        </w:rPr>
        <w:t xml:space="preserve"> ημέρα του επόμενου μήνα με ημερομηνία έκδοσης την τελευταία ημέρα του προηγούμενου.</w:t>
      </w:r>
    </w:p>
    <w:p>
      <w:pPr>
        <w:spacing w:before="240" w:after="240"/>
        <w:rPr>
          <w:lang w:val="el" w:eastAsia="el"/>
        </w:rPr>
      </w:pPr>
      <w:r>
        <w:rPr>
          <w:lang w:val="el" w:eastAsia="el"/>
        </w:rPr>
        <w:t>Η αρίθμηση του ειδικού στοιχείου είναι αύξουσα προοδευτική τουλάχιστον ανά έτος. Ως δικαιολογητικό εγγραφής στο τηρούμενο βιβλίο διαφυλάσσεται στο χρόνο που προβλέπεται από την παράγραφο 2 του άρθρου 21 του ΚΒΣ (π.δ.186/92).</w:t>
      </w:r>
    </w:p>
    <w:p>
      <w:pPr>
        <w:spacing w:before="240" w:after="240"/>
        <w:rPr>
          <w:lang w:val="el" w:eastAsia="el"/>
        </w:rPr>
      </w:pPr>
      <w:r>
        <w:rPr>
          <w:lang w:val="el" w:eastAsia="el"/>
        </w:rPr>
        <w:t>3. Η αξία που αναγράφεται στο ανωτέρω ειδικό στοιχείο είναι η κανονική αξία, όπως αυτή καθορίζεται στις διατάξεις του δεύτερου εδαφίου της παραγράφου 2 του άρθρου 19 του Κώδικα ΦΠΑ, ήτοι η αξία που θα έπρεπε να καταβάλλει οποιοσδήποτε αγοραστής ευρισκόμενος στο ίδιο στάδιο εμπορίας αγροτικών προϊόντων, κατά το χρόνο της εν λόγω παράδοσης σε ανεξάρτητο προμηθευτή αγροτικών προϊόντων, υπό συνθήκες πλήρους ανταγωνισμού, προκειμένου να αποκτήσει τα εν λόγω αγροτικά προϊόντα (μέση τιμή χονδρικής). Η αξία αυτή αποτελεί και το κόστος των πωληθέντων αγροτικών προϊόντων ιδίας παραγωγής.</w:t>
      </w:r>
    </w:p>
    <w:p>
      <w:pPr>
        <w:spacing w:before="240" w:after="240"/>
        <w:rPr>
          <w:lang w:val="el" w:eastAsia="el"/>
        </w:rPr>
      </w:pPr>
      <w:r>
        <w:rPr>
          <w:lang w:val="el" w:eastAsia="el"/>
        </w:rPr>
        <w:t>4. Για τις επιστρεφόμενες ποσότητες αγροτικών προϊόντων στην αγροτική εκμετάλλευση, στην περίπτωση που το ειδικό στοιχείο εκδίδεται για κάθε παράδοση, εκδίδεται ειδικό στοιχείο με αρνητικό πρόσημο.</w:t>
      </w:r>
    </w:p>
    <w:p>
      <w:pPr>
        <w:spacing w:before="240" w:after="240"/>
        <w:rPr>
          <w:lang w:val="el" w:eastAsia="el"/>
        </w:rPr>
      </w:pPr>
      <w:r>
        <w:rPr>
          <w:lang w:val="el" w:eastAsia="el"/>
        </w:rPr>
        <w:t>5. Ειδικά για τον πρώτο μήνα εφαρμογής γίνεται δεκτό, σε όσες περιπτώσεις δεν έχει εκδοθεί το ειδικό στοιχείο για κάθε παράδοση, να εκδοθεί συνολικά για όλες τις παραδόσεις έως 15 Νοεμβρίου 2010 με ημερομηνία 31.10. 2010.</w:t>
      </w:r>
    </w:p>
    <w:p>
      <w:pPr>
        <w:spacing w:before="240" w:after="240"/>
        <w:rPr>
          <w:lang w:val="el" w:eastAsia="el"/>
        </w:rPr>
      </w:pPr>
      <w:r>
        <w:rPr>
          <w:lang w:val="el" w:eastAsia="el"/>
        </w:rPr>
        <w:t>6. Η απόφαση μας Π.6793/647/7.10.1986 καταργείται.</w:t>
      </w:r>
    </w:p>
    <w:p>
      <w:pPr>
        <w:spacing w:before="240" w:after="240"/>
        <w:rPr>
          <w:lang w:val="el" w:eastAsia="el"/>
        </w:rPr>
      </w:pPr>
      <w:r>
        <w:rPr>
          <w:lang w:val="el" w:eastAsia="el"/>
        </w:rPr>
        <w:t>7. Η παρούσα απόφαση να δημοσιευθεί στην Εφημερίδα της Κυβερνήσεως.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Δ.Ο.Υ.</w:t>
      </w:r>
    </w:p>
    <w:p>
      <w:pPr>
        <w:spacing w:before="240" w:after="240"/>
        <w:rPr>
          <w:lang w:val="el" w:eastAsia="el"/>
        </w:rPr>
      </w:pPr>
      <w:r>
        <w:rPr>
          <w:lang w:val="el" w:eastAsia="el"/>
        </w:rPr>
        <w:t>2. Ελεγκτικά Κέντρα Δ.Ε.Κ. και Π.Ε.Κ.</w:t>
      </w:r>
    </w:p>
    <w:p>
      <w:pPr>
        <w:spacing w:before="240" w:after="240"/>
        <w:rPr>
          <w:lang w:val="el" w:eastAsia="el"/>
        </w:rPr>
      </w:pPr>
      <w:r>
        <w:rPr>
          <w:lang w:val="el" w:eastAsia="el"/>
        </w:rPr>
        <w:t>3. Οικονομικές Επιθεωρήσεις</w:t>
      </w:r>
    </w:p>
    <w:p>
      <w:pPr>
        <w:spacing w:before="240" w:after="240"/>
        <w:rPr>
          <w:lang w:val="el" w:eastAsia="el"/>
        </w:rPr>
      </w:pPr>
      <w:r>
        <w:rPr>
          <w:lang w:val="el" w:eastAsia="el"/>
        </w:rPr>
        <w:t>4. Κεντρική Υπηρεσία Ειδικών Ελέγχων (ΥΠ.Ε.Ε.) &amp; Περιφερειακές Διευθύνσεις ΥΠ.Ε.Ε.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ΠΙΝΑΚΑ Η΄ εκτός των αριθ. 8,9 και 10 αυτού</w:t>
      </w:r>
    </w:p>
    <w:p>
      <w:pPr>
        <w:spacing w:before="240" w:after="240"/>
        <w:rPr>
          <w:lang w:val="el" w:eastAsia="el"/>
        </w:rPr>
      </w:pPr>
      <w:r>
        <w:rPr>
          <w:lang w:val="el" w:eastAsia="el"/>
        </w:rPr>
        <w:t>2. Αποδέκτες ΠΙΝΑΚΑ ΙΕ΄</w:t>
      </w:r>
    </w:p>
    <w:p>
      <w:pPr>
        <w:spacing w:before="240" w:after="240"/>
        <w:rPr>
          <w:lang w:val="el" w:eastAsia="el"/>
        </w:rPr>
      </w:pPr>
      <w:r>
        <w:rPr>
          <w:lang w:val="el" w:eastAsia="el"/>
        </w:rPr>
        <w:t>3. Π.Ο.Ε. - Δ.Ο.Υ.</w:t>
      </w:r>
    </w:p>
    <w:p>
      <w:pPr>
        <w:spacing w:before="240" w:after="240"/>
        <w:rPr>
          <w:lang w:val="el" w:eastAsia="el"/>
        </w:rPr>
      </w:pPr>
      <w:r>
        <w:rPr>
          <w:lang w:val="el" w:eastAsia="el"/>
        </w:rPr>
        <w:t>4. 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Γεν. Γραμματέα Φορολογικών και Τελωνειακών θεμάτων</w:t>
      </w:r>
    </w:p>
    <w:p>
      <w:pPr>
        <w:spacing w:before="240" w:after="240"/>
        <w:rPr>
          <w:lang w:val="el" w:eastAsia="el"/>
        </w:rPr>
      </w:pPr>
      <w:r>
        <w:rPr>
          <w:lang w:val="el" w:eastAsia="el"/>
        </w:rPr>
        <w:t>3. Γραφείο Γεν. Διευθυντή Φορολογίας (3)</w:t>
      </w:r>
    </w:p>
    <w:p>
      <w:pPr>
        <w:spacing w:before="240" w:after="240"/>
        <w:rPr>
          <w:lang w:val="el" w:eastAsia="el"/>
        </w:rPr>
      </w:pPr>
      <w:r>
        <w:rPr>
          <w:lang w:val="el" w:eastAsia="el"/>
        </w:rPr>
        <w:t>4. Όλες τις Φορολογικές Διευθύνσεις – Τμήματα και Ανεξάρτητα Γραφεία ιδίου Υπουργείου</w:t>
      </w:r>
    </w:p>
    <w:p>
      <w:pPr>
        <w:spacing w:before="240" w:after="240"/>
        <w:rPr>
          <w:lang w:val="el" w:eastAsia="el"/>
        </w:rPr>
      </w:pPr>
      <w:r>
        <w:rPr>
          <w:lang w:val="el" w:eastAsia="el"/>
        </w:rPr>
        <w:t>5. Τράπεζα Δημοσιονομικών Δεδομένων</w:t>
      </w:r>
    </w:p>
    <w:p>
      <w:pPr>
        <w:spacing w:before="240" w:after="240"/>
        <w:rPr>
          <w:lang w:val="el" w:eastAsia="el"/>
        </w:rPr>
      </w:pPr>
      <w:r>
        <w:rPr>
          <w:lang w:val="el" w:eastAsia="el"/>
        </w:rPr>
        <w:t>6. Γεν. Δ/νση Οικονομικής Επιθεώρησης – Θεμιστοκλέους 5 – 10184 ΑΘΗΝΑ</w:t>
      </w:r>
    </w:p>
    <w:p>
      <w:pPr>
        <w:spacing w:before="240" w:after="240"/>
        <w:rPr>
          <w:lang w:val="el" w:eastAsia="el"/>
        </w:rPr>
      </w:pPr>
      <w:r>
        <w:rPr>
          <w:lang w:val="el" w:eastAsia="el"/>
        </w:rPr>
        <w:t>7. 30</w:t>
      </w:r>
      <w:r>
        <w:rPr>
          <w:sz w:val="30"/>
          <w:szCs w:val="30"/>
          <w:vertAlign w:val="superscript"/>
          <w:lang w:val="el" w:eastAsia="el"/>
        </w:rPr>
        <w:t>η</w:t>
      </w:r>
      <w:r>
        <w:rPr>
          <w:lang w:val="el" w:eastAsia="el"/>
        </w:rPr>
        <w:t xml:space="preserve"> Δ/νση Εφαρμογών Η/Υ</w:t>
      </w:r>
    </w:p>
    <w:p>
      <w:pPr>
        <w:spacing w:before="240" w:after="240"/>
        <w:rPr>
          <w:lang w:val="el" w:eastAsia="el"/>
        </w:rPr>
      </w:pPr>
      <w:r>
        <w:rPr>
          <w:lang w:val="el" w:eastAsia="el"/>
        </w:rPr>
        <w:t>8. 12</w:t>
      </w:r>
      <w:r>
        <w:rPr>
          <w:sz w:val="30"/>
          <w:szCs w:val="30"/>
          <w:vertAlign w:val="superscript"/>
          <w:lang w:val="el" w:eastAsia="el"/>
        </w:rPr>
        <w:t>η</w:t>
      </w:r>
      <w:r>
        <w:rPr>
          <w:lang w:val="el" w:eastAsia="el"/>
        </w:rPr>
        <w:t xml:space="preserve"> Δ/νση Εισοδήματος – Γραφείο Προϊσταμένου Δ/νσης</w:t>
      </w:r>
    </w:p>
    <w:p>
      <w:pPr>
        <w:spacing w:before="240" w:after="240"/>
        <w:rPr>
          <w:lang w:val="el" w:eastAsia="el"/>
        </w:rPr>
      </w:pPr>
      <w:r>
        <w:rPr>
          <w:lang w:val="el" w:eastAsia="el"/>
        </w:rPr>
        <w:t>-Τμήματα Α΄, Β΄ (10)</w:t>
      </w:r>
    </w:p>
    <w:p>
      <w:pPr>
        <w:spacing w:before="240" w:after="240"/>
        <w:rPr>
          <w:lang w:val="el" w:eastAsia="el"/>
        </w:rPr>
      </w:pPr>
      <w:r>
        <w:rPr>
          <w:lang w:val="el" w:eastAsia="el"/>
        </w:rPr>
        <w:t>9. 15</w:t>
      </w:r>
      <w:r>
        <w:rPr>
          <w:sz w:val="30"/>
          <w:szCs w:val="30"/>
          <w:vertAlign w:val="superscript"/>
          <w:lang w:val="el" w:eastAsia="el"/>
        </w:rPr>
        <w:t>η</w:t>
      </w:r>
      <w:r>
        <w:rPr>
          <w:lang w:val="el" w:eastAsia="el"/>
        </w:rPr>
        <w:t xml:space="preserve"> Δ/νση ΚΒΣ – Γραφείο Προϊσταμένου Δ/νσης</w:t>
      </w:r>
    </w:p>
    <w:p>
      <w:pPr>
        <w:pStyle w:val="StructureList1"/>
        <w:spacing w:before="120" w:after="0"/>
        <w:rPr>
          <w:lang w:val="el" w:eastAsia="el"/>
        </w:rPr>
      </w:pPr>
      <w:r>
        <w:rPr>
          <w:lang w:val="el" w:eastAsia="el"/>
        </w:rPr>
        <w:t>-</w:t>
      </w:r>
      <w:r>
        <w:rPr>
          <w:lang w:val="en" w:eastAsia="en"/>
        </w:rPr>
        <w:tab/>
      </w:r>
      <w:r>
        <w:rPr>
          <w:lang w:val="el" w:eastAsia="el"/>
        </w:rPr>
        <w:t>Τμήματα Α΄, Β΄ (10)</w:t>
      </w:r>
    </w:p>
    <w:p>
      <w:pPr>
        <w:spacing w:before="240" w:after="240"/>
        <w:rPr>
          <w:lang w:val="el" w:eastAsia="el"/>
        </w:rPr>
      </w:pPr>
      <w:r>
        <w:rPr>
          <w:lang w:val="el" w:eastAsia="el"/>
        </w:rPr>
        <w:t>10. 14</w:t>
      </w:r>
      <w:r>
        <w:rPr>
          <w:sz w:val="30"/>
          <w:szCs w:val="30"/>
          <w:vertAlign w:val="superscript"/>
          <w:lang w:val="el" w:eastAsia="el"/>
        </w:rPr>
        <w:t>η</w:t>
      </w:r>
      <w:r>
        <w:rPr>
          <w:lang w:val="el" w:eastAsia="el"/>
        </w:rPr>
        <w:t xml:space="preserve"> Δ/νση ΦΠΑ – Γραφείο Προϊσταμένου Δ/νσης</w:t>
      </w:r>
    </w:p>
    <w:p>
      <w:pPr>
        <w:pStyle w:val="StructureList1"/>
        <w:spacing w:before="120" w:after="0"/>
        <w:rPr>
          <w:lang w:val="el" w:eastAsia="el"/>
        </w:rPr>
      </w:pPr>
      <w:r>
        <w:rPr>
          <w:lang w:val="el" w:eastAsia="el"/>
        </w:rPr>
        <w:t>-</w:t>
      </w:r>
      <w:r>
        <w:rPr>
          <w:lang w:val="en" w:eastAsia="en"/>
        </w:rPr>
        <w:tab/>
      </w:r>
      <w:r>
        <w:rPr>
          <w:lang w:val="el" w:eastAsia="el"/>
        </w:rPr>
        <w:t>Τμήματα Α΄,Β΄(20)</w:t>
      </w:r>
    </w:p>
    <w:p>
      <w:pPr>
        <w:spacing w:before="240" w:after="240"/>
        <w:rPr>
          <w:lang w:val="el" w:eastAsia="el"/>
        </w:rPr>
      </w:pPr>
      <w:r>
        <w:rPr>
          <w:lang w:val="el" w:eastAsia="el"/>
        </w:rPr>
        <w:t>Ονομ/μο Εκδότη</w:t>
      </w:r>
    </w:p>
    <w:p>
      <w:pPr>
        <w:spacing w:before="240" w:after="240"/>
        <w:rPr>
          <w:lang w:val="el" w:eastAsia="el"/>
        </w:rPr>
      </w:pPr>
      <w:r>
        <w:rPr>
          <w:lang w:val="el" w:eastAsia="el"/>
        </w:rPr>
        <w:t>Αντικείμενο εργασιών</w:t>
      </w:r>
    </w:p>
    <w:p>
      <w:pPr>
        <w:spacing w:before="240" w:after="240"/>
        <w:rPr>
          <w:lang w:val="el" w:eastAsia="el"/>
        </w:rPr>
      </w:pPr>
      <w:r>
        <w:rPr>
          <w:lang w:val="el" w:eastAsia="el"/>
        </w:rPr>
        <w:t>Διεύθυνση</w:t>
      </w:r>
    </w:p>
    <w:p>
      <w:pPr>
        <w:spacing w:before="240" w:after="240"/>
        <w:rPr>
          <w:lang w:val="el" w:eastAsia="el"/>
        </w:rPr>
      </w:pPr>
      <w:r>
        <w:rPr>
          <w:lang w:val="el" w:eastAsia="el"/>
        </w:rPr>
        <w:t>Α.Φ.Μ.</w:t>
      </w:r>
    </w:p>
    <w:p>
      <w:pPr>
        <w:spacing w:before="240" w:after="240"/>
        <w:rPr>
          <w:lang w:val="el" w:eastAsia="el"/>
        </w:rPr>
      </w:pPr>
      <w:r>
        <w:rPr>
          <w:lang w:val="el" w:eastAsia="el"/>
        </w:rPr>
        <w:t>Δ.Ο.Υ.</w:t>
      </w:r>
    </w:p>
    <w:p>
      <w:pPr>
        <w:spacing w:before="240" w:after="240"/>
        <w:rPr>
          <w:lang w:val="el" w:eastAsia="el"/>
        </w:rPr>
      </w:pPr>
      <w:r>
        <w:rPr>
          <w:lang w:val="el" w:eastAsia="el"/>
        </w:rPr>
        <w:t>Τηλ.</w:t>
      </w:r>
    </w:p>
    <w:p>
      <w:pPr>
        <w:spacing w:before="240" w:after="240"/>
        <w:rPr>
          <w:lang w:val="el" w:eastAsia="el"/>
        </w:rPr>
      </w:pPr>
      <w:r>
        <w:rPr>
          <w:lang w:val="el" w:eastAsia="el"/>
        </w:rPr>
        <w:t>ΕΙΔΙΚΟ ΣΤΟΙΧΕΙΟ ΠΑΡΑΔΟΣΗΣ ΑΓΡΟΤΙΚΩΝ ΠΡΟΪΟΝΤΩΝ</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 παράγραφος 2 του Κώδικα ΦΠΑ (ν.2859/2000)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2481"/>
        <w:gridCol w:w="1522"/>
        <w:gridCol w:w="20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είδους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Κανονική Αξία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