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11130/2730</w:t>
      </w:r>
    </w:p>
    <w:p>
      <w:pPr>
        <w:pStyle w:val="PreambelText"/>
        <w:spacing w:before="240" w:after="240"/>
        <w:rPr>
          <w:lang w:val="el" w:eastAsia="el"/>
        </w:rPr>
      </w:pPr>
      <w:r>
        <w:rPr>
          <w:lang w:val="el" w:eastAsia="el"/>
        </w:rPr>
        <w:t>Διαδικασίες επιβολής διοικητικών κυρώσεων, αρμόδιες υπηρεσίες είσπραξης διοικητικών προστίμων σε εφαρμογή των διατάξεων του άρθρου δέκατου του ν. 3560/ 2007 (ΦΕΚ Α’ 103/14-5-2007) «Κύρωση και εφαρμογή της Σύμβασης ποινικού δικαίου για τη διαφθορά και του Πρόσθετου σ’ αυτήν Πρωτοκόλλου».</w:t>
      </w:r>
    </w:p>
    <w:p>
      <w:pPr>
        <w:pStyle w:val="enacting"/>
        <w:spacing w:before="120" w:after="0"/>
        <w:rPr>
          <w:lang w:val="el" w:eastAsia="el"/>
        </w:rPr>
      </w:pPr>
      <w:r>
        <w:rPr>
          <w:b/>
          <w:bCs/>
          <w:lang w:val="el" w:eastAsia="el"/>
        </w:rPr>
        <w:t>ΟΙΥΠΟΥΡΓΟΙΟΙΚΟΝΟΜΙΚΩΝ-ΔΙΚΑΙΟΣΥΝΗΣ,ΔΙΑΦΑΝΕΙΑΣΚΑΙΑΝΘΡΩΠΙΝΩΝΔΙΚΑΙΩΜΑΤΩΝ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30 του ν. 3296/2004 (Α’253) «Φορολογία εισοδήματος φυσικών και νομικών προσώπων, φορολογικοί έλεγχοι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δέκατου άρθρου του ν. 3560/2007 (Α’103) «Κύρωση και εφαρμογή της Σύμβασης ποινικού δικαίου για τη διαφθορά και του Πρόσθετου σ’ αυτήν Πρωτοκόλλου».</w:t>
      </w:r>
    </w:p>
    <w:p>
      <w:pPr>
        <w:pStyle w:val="StructureList1"/>
        <w:spacing w:before="120" w:after="0"/>
        <w:rPr>
          <w:lang w:val="el" w:eastAsia="el"/>
        </w:rPr>
      </w:pPr>
      <w:r>
        <w:rPr>
          <w:lang w:val="el" w:eastAsia="el"/>
        </w:rPr>
        <w:t>γ)</w:t>
      </w:r>
      <w:r>
        <w:rPr>
          <w:lang w:val="en" w:eastAsia="en"/>
        </w:rPr>
        <w:tab/>
      </w:r>
      <w:r>
        <w:rPr>
          <w:lang w:val="el" w:eastAsia="el"/>
        </w:rPr>
        <w:t>του ογδόου άρθρου του ν.3666/2008 (Α’105) «Κύρωση και εφαρμογή της Σύμβασης των Ηνωμένων Εθνών κατά της Διαφθοράς και αντικατάσταση συναφών διατάξεων του Ποινικού Κώδικα».</w:t>
      </w:r>
    </w:p>
    <w:p>
      <w:pPr>
        <w:pStyle w:val="StructureList1"/>
        <w:spacing w:before="120" w:after="0"/>
        <w:rPr>
          <w:lang w:val="el" w:eastAsia="el"/>
        </w:rPr>
      </w:pPr>
      <w:r>
        <w:rPr>
          <w:lang w:val="el" w:eastAsia="el"/>
        </w:rPr>
        <w:t>δ)</w:t>
      </w:r>
      <w:r>
        <w:rPr>
          <w:lang w:val="en" w:eastAsia="en"/>
        </w:rPr>
        <w:tab/>
      </w:r>
      <w:r>
        <w:rPr>
          <w:lang w:val="el" w:eastAsia="el"/>
        </w:rPr>
        <w:t>των άρθρων 6, 51, 52 και 55 του ν.3691/2008 (Α’166) «Πρόληψη και καταστολή της νομιμοποίησης εσόδων από εγκληματικές δραστηριότητες και της χρηματοδότησης της τρομοκρατίας και άλλες διατάξεις» σύμφωνα με τα οποία η αρμοδιότητα για την επιβολή των διοικητικών κυρώσεων για το αδίκημα του ξεπλύματος χρήματος ανήκει στις αρμόδιες αρχές του άρθρου 6 του νόμου αυτού.</w:t>
      </w:r>
    </w:p>
    <w:p>
      <w:pPr>
        <w:pStyle w:val="StructureList1"/>
        <w:spacing w:before="120" w:after="0"/>
        <w:rPr>
          <w:lang w:val="el" w:eastAsia="el"/>
        </w:rPr>
      </w:pPr>
      <w:r>
        <w:rPr>
          <w:lang w:val="el" w:eastAsia="el"/>
        </w:rPr>
        <w:t>ε)</w:t>
      </w:r>
      <w:r>
        <w:rPr>
          <w:lang w:val="en" w:eastAsia="en"/>
        </w:rPr>
        <w:tab/>
      </w:r>
      <w:r>
        <w:rPr>
          <w:lang w:val="el" w:eastAsia="el"/>
        </w:rPr>
        <w:t>του άρθρου 88 του ν.3842/2010 (Α’58)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του άρθρου 2 του ν.δ. 356/74 (Α’247) (Κ.Ε.Δ.Ε.) και τις διατάξεις του άρθρου 11 του ν. 2362/95 περί «Δημοσίου Λογιστικού ελέγχου των δαπανών του κράτους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του π.δ. 185/2009 ( Α’ 213) «Ανασύσταση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θ)</w:t>
      </w:r>
      <w:r>
        <w:rPr>
          <w:lang w:val="en" w:eastAsia="en"/>
        </w:rPr>
        <w:tab/>
      </w:r>
      <w:r>
        <w:rPr>
          <w:lang w:val="el" w:eastAsia="el"/>
        </w:rPr>
        <w:t>του π.δ. 85/2005 (Α’ 122) «Οργάνωση της Υπηρεσίας Ειδικών Ελέγχων (ΥΠΕΕ) του Υπουργείου Οικονομίας και Οικονομικών».</w:t>
      </w:r>
    </w:p>
    <w:p>
      <w:pPr>
        <w:pStyle w:val="StructureList1"/>
        <w:spacing w:before="120" w:after="0"/>
        <w:rPr>
          <w:lang w:val="el" w:eastAsia="el"/>
        </w:rPr>
      </w:pPr>
      <w:r>
        <w:rPr>
          <w:lang w:val="el" w:eastAsia="el"/>
        </w:rPr>
        <w:t>ι)</w:t>
      </w:r>
      <w:r>
        <w:rPr>
          <w:lang w:val="en" w:eastAsia="en"/>
        </w:rPr>
        <w:tab/>
      </w:r>
      <w:r>
        <w:rPr>
          <w:lang w:val="el" w:eastAsia="el"/>
        </w:rPr>
        <w:t>του π.δ. 36/2000 (Α’29) «Οργανισμός Υπουργείου Δικαιοσύνης».</w:t>
      </w:r>
    </w:p>
    <w:p>
      <w:pPr>
        <w:pStyle w:val="StructureList1"/>
        <w:spacing w:before="120" w:after="0"/>
        <w:rPr>
          <w:lang w:val="el" w:eastAsia="el"/>
        </w:rPr>
      </w:pPr>
      <w:r>
        <w:rPr>
          <w:lang w:val="el" w:eastAsia="el"/>
        </w:rPr>
        <w:t>ια)</w:t>
      </w:r>
      <w:r>
        <w:rPr>
          <w:lang w:val="en" w:eastAsia="en"/>
        </w:rPr>
        <w:tab/>
      </w:r>
      <w:r>
        <w:rPr>
          <w:lang w:val="el" w:eastAsia="el"/>
        </w:rPr>
        <w:t>της με αρ. 2876/2009 (Β’2234) Απόφασης του Πρωθυπουργού «Αλλαγή τίτλου Υπουργείων».</w:t>
      </w:r>
    </w:p>
    <w:p>
      <w:pPr>
        <w:pStyle w:val="StructureList1"/>
        <w:spacing w:before="120" w:after="0"/>
        <w:rPr>
          <w:lang w:val="el" w:eastAsia="el"/>
        </w:rPr>
      </w:pPr>
      <w:r>
        <w:rPr>
          <w:lang w:val="el" w:eastAsia="el"/>
        </w:rPr>
        <w:t>ιβ)</w:t>
      </w:r>
      <w:r>
        <w:rPr>
          <w:lang w:val="en" w:eastAsia="en"/>
        </w:rPr>
        <w:tab/>
      </w:r>
      <w:r>
        <w:rPr>
          <w:lang w:val="el" w:eastAsia="el"/>
        </w:rPr>
        <w:t>της με αρ. πρωτ.2550/26-02-2008 Απόφασης του Ειδικού Γραμματέα της ΥΠΕΕ με την οποία ανατίθενται τα θέματα της διαφθοράς στη Διεύθυνση Ειδικών Υποθέσεων της Κ.Υ. της ΥΠΕΕ.</w:t>
      </w:r>
    </w:p>
    <w:p>
      <w:pPr>
        <w:pStyle w:val="PreambelText"/>
        <w:spacing w:before="240" w:after="240"/>
        <w:rPr>
          <w:lang w:val="el" w:eastAsia="el"/>
        </w:rPr>
      </w:pPr>
      <w:r>
        <w:rPr>
          <w:lang w:val="el" w:eastAsia="el"/>
        </w:rPr>
        <w:t>2. Το γεγονός ότι η διαφθορά συνιστά απειλή για το κράτος δικαίου, τη δημοκρατία και τα ανθρώπινα δικαιώματα, υπονομεύει τη χρηστή διοίκηση, τη δίκαιη μεταχείριση και την κοινωνική δικαιοσύνη, στρεβλώνει τον ανταγωνισμό, παρεμποδίζει την οικονομική ανάπτυξη και θέτει σε κίνδυνο τη σταθερότητα των δημοκρατικών θεσμών και των ηθικών θεμελίων της κοινωνίας.</w:t>
      </w:r>
    </w:p>
    <w:p>
      <w:pPr>
        <w:pStyle w:val="PreambelText"/>
        <w:spacing w:before="240" w:after="240"/>
        <w:rPr>
          <w:lang w:val="el" w:eastAsia="el"/>
        </w:rPr>
      </w:pPr>
      <w:r>
        <w:rPr>
          <w:lang w:val="el" w:eastAsia="el"/>
        </w:rPr>
        <w:t>3. Τη διαπίστωση ότι η επιβολή των διοικητικών κυρώσεων σε βάρος των νομικών προσώπων πού αποκομίζουν οφέλη από αδικήματα που σχετίζονται με τη διαφθορά, λειτουργεί αποτρεπτικά για τους παραβάτες και αυξάνει τα έσοδα του Δημοσίου.</w:t>
      </w:r>
    </w:p>
    <w:p>
      <w:pPr>
        <w:pStyle w:val="PreambelText"/>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τις διαδικασίες επιβολής και εκτέλεσης διοικητικών κυρώσεων και είσπραξης διοικητικών προστίμων σε βάρος των νομικών προσώπων που αποκομίζουν ή επιδιώκεται να αποκομίσουν οφέλη από αδικήματα που σχετίζονται με τη διαφθορά, καθώς και κάθε άλλη σχετική λεπτομέρεια σε εφαρμογή των διατάξεων του άρθρου δέκατου του ν. 3560/2007 (Α’103) «Κύρωση και εφαρμογή της Σύμβασης ποινικού δικαίου για τη διαφθορά και του Πρόσθετου σ’ αυτήν Πρωτοκόλλου» και του άρθρου ογδόου του ν.3666/2008 (Α’105) «Κύρωση και εφαρμογή της Σύμβασης των Ηνωμένων Εθνών κατά της Διαφθοράς και αντικατάσταση συναφών διατάξεων του Ποινικού Κώδικα».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Αρμόδιες υπηρεσίες</w:t>
      </w:r>
    </w:p>
    <w:p>
      <w:pPr>
        <w:spacing w:before="240" w:after="240"/>
        <w:rPr>
          <w:lang w:val="el" w:eastAsia="el"/>
        </w:rPr>
      </w:pPr>
      <w:r>
        <w:rPr>
          <w:lang w:val="el" w:eastAsia="el"/>
        </w:rPr>
        <w:t>Αρμόδιες υπηρεσίες για την επιβολή και την εκτέλεση των διοικητικών κυρώσεων που προβλέπονται στις παραγράφους 1 και 2 του άρθρου δέκατου του ν.3560/2007, ορίζονται οι Περιφερειακές Διευθύνσεις του Σώματος Δίωξης Οικονομικού Εγκλήματος (ΣΔΟΕ) στη χωρική αρμοδιότητα των οποίων διαπράχθηκε η παράβαση. Αρμόδια για τη βεβαίωση και είσπραξη του διοικητικού προστίμου είναι η Δημόσια Οικονομική Υπηρεσία (ΔΟΥ) της έδρας του νομικού προσώπου (παρ. 3, άρθρο 9, ν. 2523/1997).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Διαδικασίες επιβολής και εκτέλεσης των διοικητικώνκυρώσεων</w:t>
      </w:r>
    </w:p>
    <w:p>
      <w:pPr>
        <w:pStyle w:val="MainText"/>
        <w:spacing w:before="120" w:after="0"/>
        <w:rPr>
          <w:lang w:val="el" w:eastAsia="el"/>
        </w:rPr>
      </w:pPr>
      <w:r>
        <w:rPr>
          <w:b/>
          <w:bCs/>
          <w:lang w:val="el" w:eastAsia="el"/>
        </w:rPr>
        <w:t>1.</w:t>
      </w:r>
      <w:r>
        <w:rPr>
          <w:lang w:val="el" w:eastAsia="el"/>
        </w:rPr>
        <w:t xml:space="preserve"> Οι εισαγγελικές αρχές ενημερώνουν την Κεντρική Υπηρεσία του ΣΔΟΕ, μετά την άσκηση ποινικής δίωξης, για υποθέσεις στις οποίες υπάρχει εμπλοκή νομικού προσώπου, υπό την έννοια των παραγράφων 1 και 2 του άρθρου δέκατου του ν.3560/2007 και του άρθρου ογδόου του ν.3666/2008.</w:t>
      </w:r>
    </w:p>
    <w:p>
      <w:pPr>
        <w:spacing w:before="240" w:after="240"/>
        <w:rPr>
          <w:lang w:val="el" w:eastAsia="el"/>
        </w:rPr>
      </w:pPr>
      <w:r>
        <w:rPr>
          <w:lang w:val="el" w:eastAsia="el"/>
        </w:rPr>
        <w:t>Η Κεντρική Υπηρεσία του ΣΔΟΕ διαβιβάζει τις εν λόγω πληροφορίες στις αρμόδιες Περιφερειακές Διευθύνσεις, προκειμένου αυτές να προβούν στην επιβολή των προβλεπόμενων διοικητικών κυρώσεων.</w:t>
      </w:r>
    </w:p>
    <w:p>
      <w:pPr>
        <w:pStyle w:val="MainText"/>
        <w:spacing w:before="120" w:after="0"/>
        <w:rPr>
          <w:lang w:val="el" w:eastAsia="el"/>
        </w:rPr>
      </w:pPr>
      <w:r>
        <w:rPr>
          <w:b/>
          <w:bCs/>
          <w:lang w:val="el" w:eastAsia="el"/>
        </w:rPr>
        <w:t>2.</w:t>
      </w:r>
      <w:r>
        <w:rPr>
          <w:lang w:val="el" w:eastAsia="el"/>
        </w:rPr>
        <w:t xml:space="preserve"> Οι διοικητικές κυρώσεις επιβάλλονται από τον Προϊστάμενο της αρμόδιας Περιφερειακής Διεύθυνσης του ΣΔΟΕ. Για την επιμέτρηση τους λαμβάνονται υπόψη ιδίως η βαρύτητα της παράβασης, ο βαθμός της υπαιτιότητας, το μέγεθος του οφέλους που αποκτήθηκε ή επιδιώχθηκε, η οικονομική επιφάνεια του νομικού προσώπου και η τυχόν υποτροπή του. Στην καταλογιστική πράξη ορίζονται και τα εις ολόκληρον συνυπεύθυνα και συνυπόχρεα πρόσωπα. Σε περίπτωση υποτροπής του νομικού προσώπου η τυχόν επιβαλλόμενη απαγόρευση άσκησης της επιχειρηματικής δραστηριότητας έχει οριστικό χαρακτήρα.</w:t>
      </w:r>
    </w:p>
    <w:p>
      <w:pPr>
        <w:pStyle w:val="MainText"/>
        <w:spacing w:before="120" w:after="0"/>
        <w:rPr>
          <w:lang w:val="el" w:eastAsia="el"/>
        </w:rPr>
      </w:pPr>
      <w:r>
        <w:rPr>
          <w:b/>
          <w:bCs/>
          <w:lang w:val="el" w:eastAsia="el"/>
        </w:rPr>
        <w:t>3.</w:t>
      </w:r>
      <w:r>
        <w:rPr>
          <w:lang w:val="el" w:eastAsia="el"/>
        </w:rPr>
        <w:t xml:space="preserve"> Η τυχόν αλλαγή στη νομική μορφή του φορέα από το χρόνο διαπίστωσης της παράβασης μέχρι το χρόνο εκτέλεσης της απόφασης δεν αποτελεί λόγο μη επιβολής των κυρώσεων.</w:t>
      </w:r>
    </w:p>
    <w:p>
      <w:pPr>
        <w:pStyle w:val="MainText"/>
        <w:spacing w:before="120" w:after="0"/>
        <w:rPr>
          <w:lang w:val="el" w:eastAsia="el"/>
        </w:rPr>
      </w:pPr>
      <w:r>
        <w:rPr>
          <w:b/>
          <w:bCs/>
          <w:lang w:val="el" w:eastAsia="el"/>
        </w:rPr>
        <w:t>4.</w:t>
      </w:r>
      <w:r>
        <w:rPr>
          <w:lang w:val="el" w:eastAsia="el"/>
        </w:rPr>
        <w:t xml:space="preserve"> Τουλάχιστον πέντε (5) ημέρες πριν την έκδοση της καταλογιστικής πράξης, οι Περιφερειακές Διευθύνσεις του ΣΔΟΕ καλούν τους νόμιμους εκπροσώπους του νομικού προσώπου να υποβάλουν τις απόψεις τους, σύμφωνα με τις διατάξεις του άρθρου 6 του ν.2690/1999 (Α’45) «Κύρωση του Κώδικα Διοικητικής Διαδικασίας και άλλες διατάξεις».</w:t>
      </w:r>
    </w:p>
    <w:p>
      <w:pPr>
        <w:pStyle w:val="MainText"/>
        <w:spacing w:before="120" w:after="0"/>
        <w:rPr>
          <w:lang w:val="el" w:eastAsia="el"/>
        </w:rPr>
      </w:pPr>
      <w:r>
        <w:rPr>
          <w:b/>
          <w:bCs/>
          <w:lang w:val="el" w:eastAsia="el"/>
        </w:rPr>
        <w:t>5.</w:t>
      </w:r>
      <w:r>
        <w:rPr>
          <w:lang w:val="el" w:eastAsia="el"/>
        </w:rPr>
        <w:t xml:space="preserve"> Η καταλογιστική πράξη κοινοποιείται στο νομικό πρόσωπο με αποδεικτικό επίδοσης από υπάλληλο της οικείας Υπηρεσίας και εκτελείται εντός μηνός από την παρέλευση του χρόνου προσφυγής.</w:t>
      </w:r>
    </w:p>
    <w:p>
      <w:pPr>
        <w:pStyle w:val="MainText"/>
        <w:spacing w:before="120" w:after="0"/>
        <w:rPr>
          <w:lang w:val="el" w:eastAsia="el"/>
        </w:rPr>
      </w:pPr>
      <w:r>
        <w:rPr>
          <w:b/>
          <w:bCs/>
          <w:lang w:val="el" w:eastAsia="el"/>
        </w:rPr>
        <w:t>6.</w:t>
      </w:r>
      <w:r>
        <w:rPr>
          <w:lang w:val="el" w:eastAsia="el"/>
        </w:rPr>
        <w:t xml:space="preserve"> Η απόφαση για την προσωρινή ή σε περίπτωση υποτροπής οριστική απαγόρευση άσκησης της επιχειρηματικής δραστηριότητας εκτελείται από υπαλλήλους της οικείας υπηρεσίας τουλάχιστον πέντε ημέρες μετά την κοινοποίηση της. Η σφράγιση της επιχείρησης ενεργείται με τη χρήση των σφραγίδων του ΣΔΟΕ (του ελάσματος ή των δύο μεταλλικών πλακών) και με την τοποθέτηση δύο κλειδαριών ασφαλείας στην κεντρική πόρτα εισόδου καθώς και σε κάθε άλλη είσοδο της επαγγελματικής εγκατάστασης. Τα κλειδιά της μίας κλειδαριάς θα βρίσκονται στην κατοχή της οικείας υπηρεσίας και της άλλης στην κατοχή του νομικού προσώπου. Σε περίπτωση απουσίας ή άρνησης παραλαβής των κλειδιών από τον εκπρόσωπο του νομικού προσώπου, αυτά φυλάσσονται από τον προϊστάμενο της υπηρεσίας. Μετά το πέρας της διαδικασίας σφράγισης συντάσσεται πρακτικό το οποίο υπογράφεται από τους συμπράξαντες υπαλλήλους και τον εκπρόσωπο του νομικού προσώπου, εφόσον παρευρίσκεται. Σε περίπτωση που αυτός απουσιάζει ή αρνείται να υπογράψει, αυτό σημειώνεται στο πρακτικό και αντίγραφό του θυροκολλείται στην είσοδο της επιχείρησης. Αντίγραφο αποστέλλεται στην αρμόδια ΔΟΥ ενώ το πρωτότυπο τηρείται στην Υπηρεσία. Η αποσφράγιση γίνεται από τους υπαλλήλους της υπηρεσίας που προέβησαν στη σφράγιση παρουσία εκπροσώπου του νομικού προσώπου και συντάσσεται σχετικό πρακτικό, το οποίο τηρείται στην υπηρεσία. Αντίγραφα του πρακτικού κοινοποιούνται τόσο στο ενδιαφερόμενο νομικό πρόσωπο όσο και στην αρμόδια ΔΟΥ καθώς και στην περίπτωση που απαιτείται ειδική άδεια λειτουργίας στην υπηρεσία που τη χορηγεί.</w:t>
      </w:r>
    </w:p>
    <w:p>
      <w:pPr>
        <w:pStyle w:val="MainText"/>
        <w:spacing w:before="120" w:after="0"/>
        <w:rPr>
          <w:lang w:val="el" w:eastAsia="el"/>
        </w:rPr>
      </w:pPr>
      <w:r>
        <w:rPr>
          <w:b/>
          <w:bCs/>
          <w:lang w:val="el" w:eastAsia="el"/>
        </w:rPr>
        <w:t>7.</w:t>
      </w:r>
      <w:r>
        <w:rPr>
          <w:lang w:val="el" w:eastAsia="el"/>
        </w:rPr>
        <w:t xml:space="preserve"> Αντίγραφα των αποφάσεων επιβολής των διοικητικών κυρώσεων θα αποστέλλονται στη Διεύθυνση Ειδικών Υποθέσεων της Κεντρικής Υπηρεσίας του ΣΔΟΕ. Στην περίπτωση της προσωρινής ή οριστικής απαγόρευσης άσκησης της επιχειρηματικής δραστηριότητας θα αποστέλλονται και αντίγραφα των πρακτικών σφράγισης ή και αποσφράγισης.</w:t>
      </w:r>
    </w:p>
    <w:p>
      <w:pPr>
        <w:pStyle w:val="MainText"/>
        <w:spacing w:before="120" w:after="0"/>
        <w:rPr>
          <w:lang w:val="el" w:eastAsia="el"/>
        </w:rPr>
      </w:pPr>
      <w:r>
        <w:rPr>
          <w:b/>
          <w:bCs/>
          <w:lang w:val="el" w:eastAsia="el"/>
        </w:rPr>
        <w:t>8.</w:t>
      </w:r>
      <w:r>
        <w:rPr>
          <w:lang w:val="el" w:eastAsia="el"/>
        </w:rPr>
        <w:t xml:space="preserve"> Όταν επιβάλλεται η διοικητική κύρωση του πρόσκαιρου ή οριστικού αποκλεισμού από τις δημόσιες παροχές ή ενισχύσεις, η απόφαση κοινοποιείται στην αρμόδια ΔΟΥ η οποία για τους ανωτέρω λόγους δεν θα χορηγεί αποδεικτικά φορολογικής ενημερότητας.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Διαδικασίες βεβαίωσης και είσπραξης των διοικητι-κών προστίμων</w:t>
      </w:r>
    </w:p>
    <w:p>
      <w:pPr>
        <w:pStyle w:val="MainText"/>
        <w:spacing w:before="120" w:after="0"/>
        <w:rPr>
          <w:lang w:val="el" w:eastAsia="el"/>
        </w:rPr>
      </w:pPr>
      <w:r>
        <w:rPr>
          <w:b/>
          <w:bCs/>
          <w:lang w:val="el" w:eastAsia="el"/>
        </w:rPr>
        <w:t>1.</w:t>
      </w:r>
      <w:r>
        <w:rPr>
          <w:lang w:val="el" w:eastAsia="el"/>
        </w:rPr>
        <w:t xml:space="preserve"> Μετά την έκδοση και κοινοποίηση της καταλογιστικής πράξης προς το νομικό πρόσωπο, συντάσσεται από την αρμόδια υπηρεσία επιβολής των εν λόγω διοικητικών κυρώσεων (Περιφερειακή Διεύθυνση του ΣΔΟΕ) τριπλότυπη περιληπτική κατάσταση και χρηματικός κατάλογος, κατά τις διατάξεις του άρθρου 55 του π.δ.16/89 (Α’6) «Κανονισμός Λειτουργίας των ΔΟΥ» και αποστέλλεται για βεβαίωση στην αρμόδια ΔΟΥ της έδρας του υπόχρεου νομικού προσώπου για τα περαιτέρω.</w:t>
      </w:r>
    </w:p>
    <w:p>
      <w:pPr>
        <w:pStyle w:val="MainText"/>
        <w:spacing w:before="120" w:after="0"/>
        <w:rPr>
          <w:lang w:val="el" w:eastAsia="el"/>
        </w:rPr>
      </w:pPr>
      <w:r>
        <w:rPr>
          <w:b/>
          <w:bCs/>
          <w:lang w:val="el" w:eastAsia="el"/>
        </w:rPr>
        <w:t>2.</w:t>
      </w:r>
      <w:r>
        <w:rPr>
          <w:lang w:val="el" w:eastAsia="el"/>
        </w:rPr>
        <w:t xml:space="preserve"> Τα έσοδα των προστίμων της παρούσας αποτελούν έσοδα του Κρατικού Προϋπολογισμού και εμφανίζονται στον Κ.Α. 3739 «Λοιπά πρόστιμα και χρηματικές ποινές επιβαλλόμενες από Δικαστήρια και δημόσιες γενικά αρχές». Κατά τα λοιπά εφαρμόζονται οι διατάξεις του Κώδικα Εισπράξεως Δημοσίων Εσόδων (ΚΕΔΕ).</w:t>
      </w:r>
    </w:p>
    <w:p>
      <w:pPr>
        <w:pStyle w:val="MainText"/>
        <w:spacing w:before="120" w:after="0"/>
        <w:rPr>
          <w:lang w:val="el" w:eastAsia="el"/>
        </w:rPr>
      </w:pPr>
      <w:r>
        <w:rPr>
          <w:b/>
          <w:bCs/>
          <w:lang w:val="el" w:eastAsia="el"/>
        </w:rPr>
        <w:t>3.</w:t>
      </w:r>
      <w:r>
        <w:rPr>
          <w:lang w:val="el" w:eastAsia="el"/>
        </w:rPr>
        <w:t xml:space="preserve"> Αντίγραφο της σχετικής απόφασης και του χρηματικού καταλόγου αποστέλλεται στη Διεύθυνση Ειδικών Υποθέσεων της ΚΥ του ΣΔΟΕ.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Νοεμβρίου 2010</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 ΚΑΙ ΟΙΚΟΝΟΜΙΚΩΝ ΑΝΡΩΠΙΝΩΝ ΔΙΚΑΙΩΜΑΤΩΝ</w:t>
      </w:r>
    </w:p>
    <w:p>
      <w:pPr>
        <w:spacing w:before="240" w:after="240"/>
        <w:rPr>
          <w:lang w:val="el" w:eastAsia="el"/>
        </w:rPr>
      </w:pPr>
      <w:r>
        <w:rPr>
          <w:b/>
          <w:bCs/>
          <w:lang w:val="el" w:eastAsia="el"/>
        </w:rPr>
        <w:t>ΓΕΩΡ.ΠΑΠΑΚΩΝΣΤΑΝΤΙΝΟΥ ΧΑΡΑΛ.ΚΑΣΤΑΝΙΔΗΣ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