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 ΓΕΝΙΚΗ ΓΡΑΜΜΑΤΕΙΑ ΦΟΡΟΛΟΓΙΚΩΝ</w:t>
      </w:r>
    </w:p>
    <w:p>
      <w:pPr>
        <w:pStyle w:val="Title"/>
        <w:spacing w:before="120" w:after="360"/>
        <w:rPr>
          <w:lang w:val="el" w:eastAsia="el"/>
        </w:rPr>
      </w:pPr>
      <w:r>
        <w:rPr>
          <w:b/>
          <w:bCs/>
          <w:lang w:val="el" w:eastAsia="el"/>
        </w:rPr>
        <w:t>ΚΑΙ ΤΕΛΩΝΕΙΑΚΩΝ ΘΕΜΑΤΩΝ</w:t>
      </w:r>
    </w:p>
    <w:p>
      <w:pPr>
        <w:pStyle w:val="Title"/>
        <w:spacing w:before="120" w:after="360"/>
        <w:rPr>
          <w:lang w:val="el" w:eastAsia="el"/>
        </w:rPr>
      </w:pPr>
      <w:r>
        <w:rPr>
          <w:b/>
          <w:bCs/>
          <w:lang w:val="el" w:eastAsia="el"/>
        </w:rPr>
        <w:t>ΓΕΝΙΚΗ ΔΙΕΥΘΥΝΣΗ ΔΗΜ. ΠΕΡΙΟΥΣΙΑΣ</w:t>
      </w:r>
    </w:p>
    <w:p>
      <w:pPr>
        <w:pStyle w:val="Title"/>
        <w:spacing w:before="120" w:after="360"/>
        <w:rPr>
          <w:lang w:val="el" w:eastAsia="el"/>
        </w:rPr>
      </w:pPr>
      <w:r>
        <w:rPr>
          <w:b/>
          <w:bCs/>
          <w:lang w:val="el" w:eastAsia="el"/>
        </w:rPr>
        <w:t>ΚΑΙ ΕΘΝΙΚΩΝ ΚΛΗΡΟΔΟΤΗΜΑΤΩΝ</w:t>
      </w:r>
    </w:p>
    <w:p>
      <w:pPr>
        <w:pStyle w:val="Title"/>
        <w:spacing w:before="120" w:after="360"/>
        <w:rPr>
          <w:lang w:val="el" w:eastAsia="el"/>
        </w:rPr>
      </w:pPr>
      <w:r>
        <w:rPr>
          <w:b/>
          <w:bCs/>
          <w:lang w:val="el" w:eastAsia="el"/>
        </w:rPr>
        <w:t>Δ/ΝΣΗ ΤΕΧΝ. ΥΠΗΡΕΣΙΩΝ KAI ΣΤΕΓΑΣΗΣ</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lang w:val="el" w:eastAsia="el"/>
        </w:rPr>
        <w:t>Ταχ. Δ/νση : Κολωνού 2 &amp; Πειραιώς</w:t>
      </w:r>
    </w:p>
    <w:p>
      <w:pPr>
        <w:spacing w:before="240" w:after="240"/>
        <w:rPr>
          <w:lang w:val="el" w:eastAsia="el"/>
        </w:rPr>
      </w:pPr>
      <w:r>
        <w:rPr>
          <w:lang w:val="el" w:eastAsia="el"/>
        </w:rPr>
        <w:t>104 37 Αθήνα</w:t>
      </w:r>
    </w:p>
    <w:p>
      <w:pPr>
        <w:spacing w:before="240" w:after="240"/>
        <w:rPr>
          <w:lang w:val="el" w:eastAsia="el"/>
        </w:rPr>
      </w:pPr>
      <w:r>
        <w:rPr>
          <w:lang w:val="el" w:eastAsia="el"/>
        </w:rPr>
        <w:t>Τηλέφωνα : 210-5225868, 5224155, 5235643, 5234490</w:t>
      </w:r>
    </w:p>
    <w:p>
      <w:pPr>
        <w:spacing w:before="240" w:after="240"/>
        <w:rPr>
          <w:lang w:val="el" w:eastAsia="el"/>
        </w:rPr>
      </w:pPr>
      <w:r>
        <w:rPr>
          <w:lang w:val="el" w:eastAsia="el"/>
        </w:rPr>
        <w:t>Τηλεομοιοτυπία: 210-5234003</w:t>
      </w:r>
    </w:p>
    <w:p>
      <w:pPr>
        <w:spacing w:before="240" w:after="240"/>
        <w:rPr>
          <w:lang w:val="el" w:eastAsia="el"/>
        </w:rPr>
      </w:pPr>
      <w:r>
        <w:rPr>
          <w:b/>
          <w:bCs/>
          <w:lang w:val="el" w:eastAsia="el"/>
        </w:rPr>
        <w:t>ΘΕΜΑ : «Έναρξη ισχύος των διατάξεων των άρθρ.41 και 41</w:t>
      </w:r>
      <w:r>
        <w:rPr>
          <w:b/>
          <w:bCs/>
          <w:sz w:val="30"/>
          <w:szCs w:val="30"/>
          <w:vertAlign w:val="superscript"/>
          <w:lang w:val="el" w:eastAsia="el"/>
        </w:rPr>
        <w:t>α</w:t>
      </w:r>
      <w:r>
        <w:rPr>
          <w:b/>
          <w:bCs/>
          <w:lang w:val="el" w:eastAsia="el"/>
        </w:rPr>
        <w:t xml:space="preserve"> του ν.1249/82 και 14 του ν.1473/84 και καθορισμός τιμών εκκίνησης και συντελεστών αυξομείωσής τους για τον προσδιορισμό της φορολογητέας αξίας των ακινήτων που βρίσκονται σε περιοχές εντός 4.489 οικισμών των Νομών Δράμας, Καβάλας, Ξάνθης, Ροδόπης, Πέλλας, Πιερίας, Χαλκιδικής, Κοζάνης, Ιωαννίνων, Λάρισας, Μαγνησίας, Βοιωτίας, Ευρυτανίας, Φθιώτιδας, Φωκίδας, Αργολίδας, Αρκαδίας, Λακωνίας, Μεσσηνίας, Λέσβου, Κυκλάδων, Ηρακλείου, Λασιθίου, Ρεθύμνου και Χανίων».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 των άρθρων 41 και 41</w:t>
      </w:r>
      <w:r>
        <w:rPr>
          <w:sz w:val="30"/>
          <w:szCs w:val="30"/>
          <w:vertAlign w:val="superscript"/>
          <w:lang w:val="el" w:eastAsia="el"/>
        </w:rPr>
        <w:t>α</w:t>
      </w:r>
      <w:r>
        <w:rPr>
          <w:lang w:val="el" w:eastAsia="el"/>
        </w:rPr>
        <w:t xml:space="preserve"> του ν. 1249/1982 (ΦΕΚ.43/Α΄), όπως το άρθρο 41α προστέθηκε με το άρθρο 10 του ν. 2386/1996 (ΦΕΚ 43/Α΄), και του άρθρου 14 του ν.1473/1984 (ΦΕΚ.127/Α΄).</w:t>
      </w:r>
    </w:p>
    <w:p>
      <w:pPr>
        <w:spacing w:before="240" w:after="240"/>
        <w:rPr>
          <w:lang w:val="el" w:eastAsia="el"/>
        </w:rPr>
      </w:pPr>
      <w:r>
        <w:rPr>
          <w:lang w:val="el" w:eastAsia="el"/>
        </w:rPr>
        <w:t>2. Τις διατάξεις της παραγράφου 8 του άρθρου 24 του ν.1828/1989 (ΦΕΚ 2/Α΄).</w:t>
      </w:r>
    </w:p>
    <w:p>
      <w:pPr>
        <w:spacing w:before="240" w:after="240"/>
        <w:rPr>
          <w:lang w:val="el" w:eastAsia="el"/>
        </w:rPr>
      </w:pPr>
      <w:r>
        <w:rPr>
          <w:lang w:val="el" w:eastAsia="el"/>
        </w:rPr>
        <w:t>3. Τις ιδιαιτερότητες κάθε περιοχής ή τμήματος αυτής, όπως συνθήκες περιβάλλοντος και θέας, εξυπηρέτηση (υποδομή, συγκοινωνία κ.λ.π.), εμπορικότητα δρόμων, πολεοδομικές ρυθμίσεις (συντελεστής δόμησης οικοπέδου).</w:t>
      </w:r>
    </w:p>
    <w:p>
      <w:pPr>
        <w:spacing w:before="240" w:after="240"/>
        <w:rPr>
          <w:lang w:val="el" w:eastAsia="el"/>
        </w:rPr>
      </w:pPr>
      <w:r>
        <w:rPr>
          <w:lang w:val="el" w:eastAsia="el"/>
        </w:rPr>
        <w:t>4. Τις ιδιαιτερότητες των ακινήτων, όπως χρήση (οικόπεδο, διαμέρισμα, κατάστημα, αποθήκη κ.λ.π.), πρόσοψη (σε αίθριο, σε πλατεία κ.λ.π.), όροφος, επιφάνεια, παλαιότητα κτιρίου, συνιδιοκτησία, ειδικές συνθήκες (σεισμός, πλημμύρα, πυρκαγιά, απαλλοτρίωση κ.λ.π.), δέσμευση (διατηρητέα κτίρια, αρχαιολογική έρευνα κ.λ.π.).</w:t>
      </w:r>
    </w:p>
    <w:p>
      <w:pPr>
        <w:spacing w:before="240" w:after="240"/>
        <w:rPr>
          <w:lang w:val="el" w:eastAsia="el"/>
        </w:rPr>
      </w:pPr>
      <w:r>
        <w:rPr>
          <w:lang w:val="el" w:eastAsia="el"/>
        </w:rPr>
        <w:t>5. Την απόφασή μας με αρ. πρωτ. 1067780/82/Γ0013/09.06.94 ΠΟΛ.1149 (ΦΕΚ- 549/Β΄/15.07.94) όπως ισχύει σήμερα, με την οποία τροποποιούνται, βελτιώνονται και κωδικοποιούνται οι διατάξεις που αφορούν τη φορολογητέα αξία μεταβιβαζομένων με οποιαδήποτε αιτία ακινήτων εντός σχεδίου, κατά το αντικειμενικό σύστημα.</w:t>
      </w:r>
    </w:p>
    <w:p>
      <w:pPr>
        <w:spacing w:before="240" w:after="240"/>
        <w:rPr>
          <w:lang w:val="el" w:eastAsia="el"/>
        </w:rPr>
      </w:pPr>
      <w:r>
        <w:rPr>
          <w:lang w:val="el" w:eastAsia="el"/>
        </w:rPr>
        <w:t>6. Τις εισηγήσεις των αρμοδίων επιτροπών του άρθρου 41 του ν.1249/1982 στις οποίες περιλαμβάνονται τα πορίσματά τους.</w:t>
      </w:r>
    </w:p>
    <w:p>
      <w:pPr>
        <w:spacing w:before="240" w:after="240"/>
        <w:rPr>
          <w:lang w:val="el" w:eastAsia="el"/>
        </w:rPr>
      </w:pPr>
      <w:r>
        <w:rPr>
          <w:lang w:val="el" w:eastAsia="el"/>
        </w:rPr>
        <w:t>7. Την αριθμ. Δ6Α 1142500 ΕΞ 2010/26.10.2010 (ΦΕΚ. 1725/Β΄/03.11.2010) κοινή απόφαση των Πρωθυπουργού και Υπουργού Οικονομικών «Ανάθεση αρμοδιοτήτων στον Υφυπουργό Οικονομικών Δημήτριο Κουσελά».</w:t>
      </w:r>
    </w:p>
    <w:p>
      <w:pPr>
        <w:spacing w:before="240" w:after="240"/>
        <w:rPr>
          <w:lang w:val="el" w:eastAsia="el"/>
        </w:rPr>
      </w:pPr>
      <w:r>
        <w:rPr>
          <w:lang w:val="el" w:eastAsia="el"/>
        </w:rPr>
        <w:t>8. Το γεγονός ότι δεν δημιουργείται δαπάνη για τον Κρατικό Προϋπολογισμό.</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Επεκτείνουμε την ισχύ των διατάξεων των άρθρων 41 και 41</w:t>
      </w:r>
      <w:r>
        <w:rPr>
          <w:sz w:val="30"/>
          <w:szCs w:val="30"/>
          <w:vertAlign w:val="superscript"/>
          <w:lang w:val="el" w:eastAsia="el"/>
        </w:rPr>
        <w:t>α</w:t>
      </w:r>
      <w:r>
        <w:rPr>
          <w:lang w:val="el" w:eastAsia="el"/>
        </w:rPr>
        <w:t xml:space="preserve"> του ν. 1249/1982, όπως το άρθρο 41</w:t>
      </w:r>
      <w:r>
        <w:rPr>
          <w:sz w:val="30"/>
          <w:szCs w:val="30"/>
          <w:vertAlign w:val="superscript"/>
          <w:lang w:val="el" w:eastAsia="el"/>
        </w:rPr>
        <w:t>α</w:t>
      </w:r>
      <w:r>
        <w:rPr>
          <w:lang w:val="el" w:eastAsia="el"/>
        </w:rPr>
        <w:t xml:space="preserve"> προστέθηκε με το άρθρο 10 του ν. 2386/1996, και του άρθρου 14 του ν.1473/1984, και της παραγράφου 8 του άρθρου 24 του ν.1828/1989, για τον προσδιορισμό της φορολογητέας αξίας των ακινήτων εντός 4.489 οικισμών που βρίσκονται στους Νομούς Δράμας, Καβάλας, Ξάνθης, Ροδόπης, Πέλλας, Πιερίας, Χαλκιδικής, Κοζάνης, Ιωαννίνων, Λάρισας, Μαγνησίας, Βοιωτίας, Ευρυτανίας, Φθιώτιδας, Φωκίδας, Αργολίδας, Αρκαδίας, Λακωνίας, Μεσσηνίας, Λέσβου, Κυκλάδων, Ηρακλείου, Λασιθίου, Ρεθύμνου και Χανίων, όπως αυτοί εμφαίνονται στους παρακάτω πίνακες.</w:t>
      </w:r>
    </w:p>
    <w:p>
      <w:pPr>
        <w:spacing w:before="240" w:after="240"/>
        <w:rPr>
          <w:lang w:val="el" w:eastAsia="el"/>
        </w:rPr>
      </w:pPr>
      <w:r>
        <w:rPr>
          <w:lang w:val="el" w:eastAsia="el"/>
        </w:rPr>
        <w:t>(Παρεμβάλλονται και αποτελούν αναπόσπαστο μέρος της παρούσας απόφασης, πίνακες τιμών για όλους τους 4.489 οικισμούς και οι χάρτες 38 εξ’ αυτών για τους οποίους υπάρχει ειδική επισήμανση στους αντίστοιχους πίνακες τιμών).</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Για τον προσδιορισμό της φορολογητέας αξίας των ακινήτων τα οποία βρίσκονται στις περιοχές των οικισμών του άρθρου 1 της απόφασης αυτής εφαρμόζονται οι διατάξεις της με αρ. πρωτ. 1067780/82/Γ0013/09-06-1994 ΠΟΛ.1149 (ΦΕΚ 549/Β΄/1994) απόφασής μας, όπως αυτή ισχύει σήμερα.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Για τον υπολογισμό της φορολογητέας αξίας των κτισμάτων των ειδικών κτιρίων εφαρμόζονται οι τιμές αφετηρίας, όπως ορίσθηκαν με την με αριθμ. πρωτ. 1020562/486/00ΤΥ/Δ΄/27-02-2007 ΠΟΛ.1033 (ΦΕΚ 268/Β΄/2007) απόφασή μας.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lang w:val="el" w:eastAsia="el"/>
        </w:rPr>
        <w:t>Η απόφαση αυτή να δημοσιευτεί στην Εφημερίδα της Κυβερνήσεως και θα αρχίσει να ισχύει από 1/1/2011.</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Προϊσταμένη της Γραμματείας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Δ. ΚΟΥΣΕΛΑΣ</w:t>
      </w:r>
    </w:p>
    <w:p>
      <w:pPr>
        <w:spacing w:before="240" w:after="240"/>
        <w:rPr>
          <w:lang w:val="el" w:eastAsia="el"/>
        </w:rPr>
      </w:pPr>
      <w:r>
        <w:rPr>
          <w:b/>
          <w:bCs/>
          <w:u w:val="single"/>
          <w:lang w:val="el" w:eastAsia="el"/>
        </w:rPr>
        <w:t xml:space="preserve">ΠΙΝΑΚΑΣ ΔΙΑΝΟΜΗΣ </w:t>
      </w:r>
      <w:r>
        <w:rPr>
          <w:b/>
          <w:bCs/>
          <w:u w:val="single"/>
          <w:lang w:val="el" w:eastAsia="el"/>
        </w:rPr>
        <w:t>:</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Όλες οι Δ.Ο.Υ. (από 5 αντίγραφα σε κάθε Δ.Ο.Υ.)</w:t>
      </w:r>
    </w:p>
    <w:p>
      <w:pPr>
        <w:pStyle w:val="MainText"/>
        <w:spacing w:before="120" w:after="0"/>
        <w:rPr>
          <w:lang w:val="el" w:eastAsia="el"/>
        </w:rPr>
      </w:pPr>
      <w:r>
        <w:rPr>
          <w:b/>
          <w:bCs/>
          <w:lang w:val="el" w:eastAsia="el"/>
        </w:rPr>
        <w:t>2.</w:t>
      </w:r>
      <w:r>
        <w:rPr>
          <w:lang w:val="el" w:eastAsia="el"/>
        </w:rPr>
        <w:t xml:space="preserve"> Όλες οι Κτηματικές Υπηρεσίες</w:t>
      </w:r>
    </w:p>
    <w:p>
      <w:pPr>
        <w:pStyle w:val="MainText"/>
        <w:spacing w:before="120" w:after="0"/>
        <w:rPr>
          <w:lang w:val="el" w:eastAsia="el"/>
        </w:rPr>
      </w:pPr>
      <w:r>
        <w:rPr>
          <w:b/>
          <w:bCs/>
          <w:lang w:val="el" w:eastAsia="el"/>
        </w:rPr>
        <w:t>3.</w:t>
      </w:r>
      <w:r>
        <w:rPr>
          <w:lang w:val="el" w:eastAsia="el"/>
        </w:rPr>
        <w:t xml:space="preserve"> Εθνικό Τυπογραφείο (για δημοσίευση έως 31/12/2010)</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Πίνακα Α΄ (πλην της περίπτωσης 1)</w:t>
      </w:r>
    </w:p>
    <w:p>
      <w:pPr>
        <w:pStyle w:val="MainText"/>
        <w:spacing w:before="120" w:after="0"/>
        <w:rPr>
          <w:lang w:val="el" w:eastAsia="el"/>
        </w:rPr>
      </w:pPr>
      <w:r>
        <w:rPr>
          <w:b/>
          <w:bCs/>
          <w:lang w:val="el" w:eastAsia="el"/>
        </w:rPr>
        <w:t>2.</w:t>
      </w:r>
      <w:r>
        <w:rPr>
          <w:lang w:val="el" w:eastAsia="el"/>
        </w:rPr>
        <w:t xml:space="preserve"> Αποδέκτες Πίνακα ΣΤ΄ (πλην των περιπτώσεων 3, 4, 6, 7)</w:t>
      </w:r>
    </w:p>
    <w:p>
      <w:pPr>
        <w:pStyle w:val="MainText"/>
        <w:spacing w:before="120" w:after="0"/>
        <w:rPr>
          <w:lang w:val="el" w:eastAsia="el"/>
        </w:rPr>
      </w:pPr>
      <w:r>
        <w:rPr>
          <w:b/>
          <w:bCs/>
          <w:lang w:val="el" w:eastAsia="el"/>
        </w:rPr>
        <w:t>3.</w:t>
      </w:r>
      <w:r>
        <w:rPr>
          <w:lang w:val="el" w:eastAsia="el"/>
        </w:rPr>
        <w:t xml:space="preserve"> Αποδέκτες Πίνακα Ζ (πλην των περιπτώσεων 3, 4, 6, 7, 8, 10)</w:t>
      </w:r>
    </w:p>
    <w:p>
      <w:pPr>
        <w:pStyle w:val="MainText"/>
        <w:spacing w:before="120" w:after="0"/>
        <w:rPr>
          <w:lang w:val="el" w:eastAsia="el"/>
        </w:rPr>
      </w:pPr>
      <w:r>
        <w:rPr>
          <w:b/>
          <w:bCs/>
          <w:lang w:val="el" w:eastAsia="el"/>
        </w:rPr>
        <w:t>4.</w:t>
      </w:r>
      <w:r>
        <w:rPr>
          <w:lang w:val="el" w:eastAsia="el"/>
        </w:rPr>
        <w:t xml:space="preserve"> Αποδέκτες Πίνακα Η΄ (πλην των περιπτώσεων 4, 8, 9, 10, 11)</w:t>
      </w:r>
    </w:p>
    <w:p>
      <w:pPr>
        <w:pStyle w:val="MainText"/>
        <w:spacing w:before="120" w:after="0"/>
        <w:rPr>
          <w:lang w:val="el" w:eastAsia="el"/>
        </w:rPr>
      </w:pPr>
      <w:r>
        <w:rPr>
          <w:b/>
          <w:bCs/>
          <w:lang w:val="el" w:eastAsia="el"/>
        </w:rPr>
        <w:t>5.</w:t>
      </w:r>
      <w:r>
        <w:rPr>
          <w:lang w:val="el" w:eastAsia="el"/>
        </w:rPr>
        <w:t xml:space="preserve"> Αποδέκτες Πίνακα Θ΄</w:t>
      </w:r>
    </w:p>
    <w:p>
      <w:pPr>
        <w:pStyle w:val="MainText"/>
        <w:spacing w:before="120" w:after="0"/>
        <w:rPr>
          <w:lang w:val="el" w:eastAsia="el"/>
        </w:rPr>
      </w:pPr>
      <w:r>
        <w:rPr>
          <w:b/>
          <w:bCs/>
          <w:lang w:val="el" w:eastAsia="el"/>
        </w:rPr>
        <w:t>6.</w:t>
      </w:r>
      <w:r>
        <w:rPr>
          <w:lang w:val="el" w:eastAsia="el"/>
        </w:rPr>
        <w:t xml:space="preserve"> Αποδέκτες Πίνακα Ι΄</w:t>
      </w:r>
    </w:p>
    <w:p>
      <w:pPr>
        <w:pStyle w:val="MainText"/>
        <w:spacing w:before="120" w:after="0"/>
        <w:rPr>
          <w:lang w:val="el" w:eastAsia="el"/>
        </w:rPr>
      </w:pPr>
      <w:r>
        <w:rPr>
          <w:b/>
          <w:bCs/>
          <w:lang w:val="el" w:eastAsia="el"/>
        </w:rPr>
        <w:t>7.</w:t>
      </w:r>
      <w:r>
        <w:rPr>
          <w:lang w:val="el" w:eastAsia="el"/>
        </w:rPr>
        <w:t xml:space="preserve"> Αποδέκτες Πίνακα ΙA΄</w:t>
      </w:r>
    </w:p>
    <w:p>
      <w:pPr>
        <w:pStyle w:val="MainText"/>
        <w:spacing w:before="120" w:after="0"/>
        <w:rPr>
          <w:lang w:val="el" w:eastAsia="el"/>
        </w:rPr>
      </w:pPr>
      <w:r>
        <w:rPr>
          <w:b/>
          <w:bCs/>
          <w:lang w:val="el" w:eastAsia="el"/>
        </w:rPr>
        <w:t>8.</w:t>
      </w:r>
      <w:r>
        <w:rPr>
          <w:lang w:val="el" w:eastAsia="el"/>
        </w:rPr>
        <w:t xml:space="preserve"> Αποδέκτες Πίνακα Κ΄</w:t>
      </w:r>
    </w:p>
    <w:p>
      <w:pPr>
        <w:pStyle w:val="MainText"/>
        <w:spacing w:before="120" w:after="0"/>
        <w:rPr>
          <w:lang w:val="el" w:eastAsia="el"/>
        </w:rPr>
      </w:pPr>
      <w:r>
        <w:rPr>
          <w:b/>
          <w:bCs/>
          <w:lang w:val="el" w:eastAsia="el"/>
        </w:rPr>
        <w:t>9.</w:t>
      </w:r>
      <w:r>
        <w:rPr>
          <w:lang w:val="el" w:eastAsia="el"/>
        </w:rPr>
        <w:t xml:space="preserve"> Αποδέκτες Πίνακα ΚA΄</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κ. Υπουργού Οικονομικών</w:t>
      </w:r>
    </w:p>
    <w:p>
      <w:pPr>
        <w:pStyle w:val="MainText"/>
        <w:spacing w:before="120" w:after="0"/>
        <w:rPr>
          <w:lang w:val="el" w:eastAsia="el"/>
        </w:rPr>
      </w:pPr>
      <w:r>
        <w:rPr>
          <w:b/>
          <w:bCs/>
          <w:lang w:val="el" w:eastAsia="el"/>
        </w:rPr>
        <w:t>2.</w:t>
      </w:r>
      <w:r>
        <w:rPr>
          <w:lang w:val="el" w:eastAsia="el"/>
        </w:rPr>
        <w:t xml:space="preserve"> Γραφεία κκ Υφυπουργών</w:t>
      </w:r>
    </w:p>
    <w:p>
      <w:pPr>
        <w:pStyle w:val="MainText"/>
        <w:spacing w:before="120" w:after="0"/>
        <w:rPr>
          <w:lang w:val="el" w:eastAsia="el"/>
        </w:rPr>
      </w:pPr>
      <w:r>
        <w:rPr>
          <w:b/>
          <w:bCs/>
          <w:lang w:val="el" w:eastAsia="el"/>
        </w:rPr>
        <w:t>3.</w:t>
      </w:r>
      <w:r>
        <w:rPr>
          <w:lang w:val="el" w:eastAsia="el"/>
        </w:rPr>
        <w:t xml:space="preserve"> Γραφεία κκ Γενικών Γραμματέων</w:t>
      </w:r>
    </w:p>
    <w:p>
      <w:pPr>
        <w:pStyle w:val="MainText"/>
        <w:spacing w:before="120" w:after="0"/>
        <w:rPr>
          <w:lang w:val="el" w:eastAsia="el"/>
        </w:rPr>
      </w:pPr>
      <w:r>
        <w:rPr>
          <w:b/>
          <w:bCs/>
          <w:lang w:val="el" w:eastAsia="el"/>
        </w:rPr>
        <w:t>4.</w:t>
      </w:r>
      <w:r>
        <w:rPr>
          <w:lang w:val="el" w:eastAsia="el"/>
        </w:rPr>
        <w:t xml:space="preserve"> Γραφεία κκ Γενικών Διευθυντών</w:t>
      </w:r>
    </w:p>
    <w:p>
      <w:pPr>
        <w:pStyle w:val="MainText"/>
        <w:spacing w:before="120" w:after="0"/>
        <w:rPr>
          <w:lang w:val="el" w:eastAsia="el"/>
        </w:rPr>
      </w:pPr>
      <w:r>
        <w:rPr>
          <w:b/>
          <w:bCs/>
          <w:lang w:val="el" w:eastAsia="el"/>
        </w:rPr>
        <w:t>5.</w:t>
      </w:r>
      <w:r>
        <w:rPr>
          <w:lang w:val="el" w:eastAsia="el"/>
        </w:rPr>
        <w:t xml:space="preserve"> Όλες τις Δ/νσεις Φορολογίας και Αυτοτελή Γραφεία</w:t>
      </w:r>
    </w:p>
    <w:p>
      <w:pPr>
        <w:pStyle w:val="MainText"/>
        <w:spacing w:before="120" w:after="0"/>
        <w:rPr>
          <w:lang w:val="el" w:eastAsia="el"/>
        </w:rPr>
      </w:pPr>
      <w:r>
        <w:rPr>
          <w:b/>
          <w:bCs/>
          <w:lang w:val="el" w:eastAsia="el"/>
        </w:rPr>
        <w:t>6.</w:t>
      </w:r>
      <w:r>
        <w:rPr>
          <w:lang w:val="el" w:eastAsia="el"/>
        </w:rPr>
        <w:t xml:space="preserve"> Γραφείο Τύπου και Δημοσίων Σχέσεων</w:t>
      </w:r>
    </w:p>
    <w:p>
      <w:pPr>
        <w:pStyle w:val="MainText"/>
        <w:spacing w:before="120" w:after="0"/>
        <w:rPr>
          <w:lang w:val="el" w:eastAsia="el"/>
        </w:rPr>
      </w:pPr>
      <w:r>
        <w:rPr>
          <w:b/>
          <w:bCs/>
          <w:lang w:val="el" w:eastAsia="el"/>
        </w:rPr>
        <w:t>7.</w:t>
      </w:r>
      <w:r>
        <w:rPr>
          <w:lang w:val="el" w:eastAsia="el"/>
        </w:rPr>
        <w:t xml:space="preserve"> Γραφείο Επικοινωνίας και Πληροφόρησης Πολιτών</w:t>
      </w:r>
    </w:p>
    <w:p>
      <w:pPr>
        <w:pStyle w:val="MainText"/>
        <w:spacing w:before="120" w:after="0"/>
        <w:rPr>
          <w:lang w:val="el" w:eastAsia="el"/>
        </w:rPr>
      </w:pPr>
      <w:r>
        <w:rPr>
          <w:b/>
          <w:bCs/>
          <w:lang w:val="el" w:eastAsia="el"/>
        </w:rPr>
        <w:t>8.</w:t>
      </w:r>
      <w:r>
        <w:rPr>
          <w:lang w:val="el" w:eastAsia="el"/>
        </w:rPr>
        <w:t xml:space="preserve"> Διεύθυνση Φορολογίας Κεφαλαίου-Τμήματα Α΄ και Β΄ (5 αντίτυπα)</w:t>
      </w:r>
    </w:p>
    <w:p>
      <w:pPr>
        <w:pStyle w:val="MainText"/>
        <w:spacing w:before="120" w:after="0"/>
        <w:rPr>
          <w:lang w:val="el" w:eastAsia="el"/>
        </w:rPr>
      </w:pPr>
      <w:r>
        <w:rPr>
          <w:b/>
          <w:bCs/>
          <w:lang w:val="el" w:eastAsia="el"/>
        </w:rPr>
        <w:t>9.</w:t>
      </w:r>
      <w:r>
        <w:rPr>
          <w:lang w:val="el" w:eastAsia="el"/>
        </w:rPr>
        <w:t xml:space="preserve"> Διεύθυνση Τεχνικών Υπηρεσιών-Τμήμα Δ΄ (σε 20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