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ΠΟΛ.1149/14.7.2011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Τύπος και περιεχόμενο της περιοδικής δήλωσης Φ.Π.Α. (έντυπο 050 – ΦΠΑ ΕΚΔΟΣΗ 2η 2011, Φ2 TAXIS)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14/07/2011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Α. ΓΕΝΙΚΗ ΓΡΑΜΜΑΤΕΙΑ ΦΟΡΟΛΟΓΙΚΩΝ &amp; 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Δ/ΝΣΗ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Δ/ΝΣΗ 14η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16η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ΕΙΣΠΡΑΞΗΣ ΔΗΜ. ΕΣΟΔΩΝ 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ΓΕΝ. Δ/ΝΣΗ ΚΕ.Π.Υ.Ο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30η ΕΦΑΡΜΟΓΩΝ Η/Υ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 –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 Τηλέφωνο : 210 – 3647202-5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–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ΕΞΑΙΡΕΤΙΚΩΣ ΕΠΕΙΓΟΥΣΑ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1149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Τύπος και περιεχόμενο της περιοδικής δήλωσης Φ.Π.Α. (έντυπο 050 – ΦΠΑ ΕΚΔΟΣΗ 2η 2011, Φ2 TAXIS).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2 του άρθρου 38 και της παραγράφου 2 του άρθρου 54 του Κώδικα ΦΠΑ όπως τροποποιήθηκαν και ισχύουν με τις παραγράφους 6, 15 και 16 του άρθρου 27 του ν.3943/2011 (ΦΕΚ 66 Α΄/31.3.2011), με τις οποίες προβλέπεται η δυνατότητα καταβολής του χρεωστικού υπολοίπου της αρχικής εμπρόθεσμης περιοδικής δήλωσης, που υποβάλλεται από 1.7.2011, σε τρεις δόσεις.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1 του άρθρου 21 του Κώδικα ΦΠΑ όπως τροποποιήθηκε και ισχύει με τα άρθρα 4 και 19 του ν.3899/2010 (Φ.Ε.Κ. 212 Α΄/17.12.2010) με τις οποίες τροποποιήθηκαν οι συντελεστές ΦΠΑ από 1.1.2011.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ακόλουθες διατάξεις του Κώδικα ΦΠΑ (κύρωση με το ν.2859/2000 - ΦΕΚ 248 Α΄/7.11.2000), όπως ισχύουν: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παραγράφων, 9 περίπτωση α΄ και 11 του άρθρου 36,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παραγράφων, 1 περίπτωση α΄, 3, 6 και 11 του άρθρου 38,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παραγράφου 2 του άρθρου 59,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παραγράφου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12 του ν.2362/1995 (ΦΕΚ 247 Α΄/27.11.1995) περί αποδεικτικών εισπράξεως.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ακόλουθων αποφάσεων του Υπουργού Οικονομικών με αριθμό: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ΠΟΛ.1028/9.2.2011 (ΦΕΚ 375 Β΄/09.03.2011) «Τύπος και περιεχόμενο της περιοδικής δήλωσης ΦΠΑ (έντυπο 050−ΦΠΑ ΕΚΔΟΣΗ 2011 Φ2 TA−XIS)».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ΠΟΛ.1178/7.12.2010 (Φ.Ε.Κ. 1916Β΄/09.12.2010) «Εγγραφή νέων χρηστών στις ηλεκτρονικές υπηρεσίες TAXISnet».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αριθ. Υ350/2011 (ΦΕΚ 1603/11.07.2011) Απόφαση του Πρωθυπουργού «Καθορισμός αρμοδιοτήτων των αναπληρωτών Υπουργών Οικονομικών Φίλιππου Σαχινίδη και Παντελή Οικονόμου».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γεγονός,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 π ο φ α σ ί ζ ο υ μ ε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Τύπος και περιεχόμενο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Ορίζουμε τον τύπο και το περιεχόμενο της περιοδικής δήλωσης ΦΠΑ καθώς και της έκτακτης δήλωσης ΦΠΑ (έντυπο 050 – ΦΠΑ ΕΚΔΟΣΗ 2η 2011, Φ2 TAXIS) όπως το υπόδειγμα που επισυνάπτεται ως παράρτημα στην παρούσα απόφαση.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2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Μεταβατικές διατάξεις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τις δηλώσεις που έχουν υποβληθεί μέχρι την έκδοση της παρούσας και ανεξάρτητα εάν έχει καταβληθεί ο οφειλόμενος φόρος δεν ισχύει η δυνατότητα καταβολής του χρεωστικού υπολοίπου σε δόσεις.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3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Έναρξης ισχύος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παρούσα απόφαση να δημοσιευθεί στην Εφημερίδα της Κυβερνήσεως.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Η παρούσα απόφαση ισχύει για δηλώσεις των οποίων η προθεσμία υποβολής λήγει μετά την 1.7.2011. και εφεξής.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ΠΡΟΪΣΤΑΜΕΝΟΣ ΤΗΣ ΓΡΑΜΜΑΤΕΙΑΣ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ΠΑΝΤΕΛΗΣ ΟΙΚΟΝΟΜΟΥ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ΠΟΛ. 1198/201401.04.2015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