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 ΥΠΟΥΡΓΕΙΟ ΟΙΚΟΝΟΜΙΚΩΝ Α. ΓΕΝΙΚΗ ΓΡΑΜΜΑΤΕΙΑ ΦΟΡΟΛΟΓΙΚΩΝ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&amp; ΤΕΛΩΝΕΙΑΚΩΝ ΘΕΜΑΤΩΝ ΓΕΝΙΚΗ Δ/ΝΣΗ ΦΟΡΟΛΟΓΙΑΣ</w:t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Δ/ΝΣΗ 14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ΦΠΑ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Δ/ΝΣΗ 16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ΕΙΣΠΡΑΞΗΣ ΔΗΜ. ΕΣΟΔΩΝ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Ε΄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Γ.Γ.Π.Σ.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ΓΕΝ. Δ/ΝΣΗ ΚΕ.Π.Υ.Ο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30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ΕΦΑΡΜΟΓΩΝ Η/Υ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 Β΄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ΕΞΑΙΡΕΤΙΚΩΣ ΕΠΕΙΓΟΥΣΑ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14/07/2011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 1149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ΔΗΜΟΣΙΕΥΘΗΚΕ ΣΤΟ Φ.Ε.Κ.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ΑΡΙΘ. 1688B΄/29.7.2011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ΑΠΟΔΕΚΤΕΣ ΠΙΝΑΚΑ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ΔΙANOMΗΣ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Σίνα 2 – 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106 72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Αικ. Καρύδα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Αναγνωστόπουλος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 – 3647202-5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 – 3645413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ΘΕΜΑ: </w:t>
      </w:r>
      <w:r>
        <w:rPr>
          <w:lang w:val="el" w:eastAsia="el"/>
        </w:rPr>
        <w:t>Τύπος και περιεχόμενο της περιοδικής δήλωσης Φ.Π.Α. (έντυπο 050 – ΦΠΑ ΕΚΔΟΣΗ 2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2011, Φ2 TAXIS).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της παραγράφου 2 του άρθρου 38 και της παραγράφου 2 του άρθρου 54 του Κώδικα ΦΠΑ όπως τροποποιήθηκαν και ισχύουν με τις παραγράφους 6, 15 και 16 του άρθρου 27 του ν.3943/2011 (ΦΕΚ 66 Α΄/31.3.2011), με τις οποίες προβλέπεται η δυνατότητα καταβολής του χρεωστικού υπολοίπου της αρχικής εμπρόθεσμης περιοδικής δήλωσης, που υποβάλλεται από 1.7.2011, σε τρεις δόσεις.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της παραγράφου 1 του άρθρου 21 του Κώδικα ΦΠΑ όπως τροποποιήθηκε και ισχύει με τα άρθρα 4 και 19 του ν.3899/2010 (Φ.Ε.Κ. 212 Α΄/17.12.2010) με τις οποίες τροποποιήθηκαν οι συντελεστές ΦΠΑ από 1.1.2011.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ακόλουθες διατάξεις του Κώδικα ΦΠΑ (κύρωση με το ν.2859/2000 - ΦΕΚ 248 Α΄/7.11.2000), όπως ισχύουν: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των παραγράφων, 9 περίπτωση α΄ και 11 του άρθρου 36,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των παραγράφων, 1 περίπτωση α΄, 3, 6 και 11 του άρθρου 38,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της παραγράφου 2 του άρθρου 59, δ) της παραγράφου 3 του άρθρου 64.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του άρθρου 12 του ν.2362/1995 (ΦΕΚ 247 Α΄/27.11.1995) περί αποδεικτικών εισπράξεως.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Τις διατάξεις των ακόλουθων αποφάσεων του Υπουργού Οικονομικών με αριθμό: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ΠΟΛ 1028/2011 (ΦΕΚ 375 Β΄/09.03.2011) «Τύπος και περιεχόμενο της περιοδικής δήλωσης ΦΠΑ (έντυπο 050-ΦΠΑ ΕΚΔΟΣΗ 2011 Φ2 TA-XIS)».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ΠΟΛ 1178/2010 (Φ.Ε.Κ. 1916Β΄/09.12.2010) «Εγγραφή νέων χρηστών στις ηλεκτρονικές υπηρεσίες TAXISnet».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Την αριθ. Υ350/2011 (ΦΕΚ 1603/11.07.2011) Απόφαση του Πρωθυπουργού «Καθορισμός αρμοδιοτήτων των αναπληρωτών Υπουργών Οικονομικών Φίλιππου Σαχινίδη και Παντελή Οικονόμου».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Το γεγονός, ότι από τις διατάξεις της απόφασης αυτής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ί ζ ο υ μ ε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Άρθρο 1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Τύπος και περιεχόμενο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Ορίζουμε τον τύπο και το περιεχόμενο της περιοδικής δήλωσης ΦΠΑ καθώς και της έκτακτης δήλωσης ΦΠΑ (έντυπο 050 – ΦΠΑ ΕΚΔΟΣΗ 2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2011, Φ2 TAXIS) όπως το υπόδειγμα που επισυνάπτεται ως παράρτημα στην παρούσα απόφαση.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Άρθρο 2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Μεταβατικές διατάξεις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Για τις δηλώσεις που έχουν υποβληθεί μέχρι την έκδοση της παρούσας και ανεξάρτητα εάν έχει καταβληθεί ο οφειλόμενος φόρος δεν ισχύει η δυνατότητα καταβολής του χρεωστικού υπολοίπου σε δόσεις.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Άρθρο 3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Έναρξης ισχύος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Η παρούσα απόφαση να δημοσιευθεί στην Εφημερίδα της Κυβερνήσεως.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Η παρούσα απόφαση ισχύει για δηλώσεις των οποίων η προθεσμία υποβολής λήγει μετά την 1.7.2011. και εφεξής.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Συνημμένο: ως Παράρτημα Ι, το έντυπο της περιοδικής δήλωσης ΦΠΑ.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ΑΝΑΠΛΗΡΩΤΗΣ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ΠΑΝΤΕΛΗΣ ΟΙΚΟΝΟΜΟΥ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Αποδέκτες Πίνακα Β΄, αριθ. 1 και 3.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Αποδέκτες Πίνακα ΣΤ΄, μόνο οι αριθ. 1 και 2.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Δ/νση 30η Γ.Γ.Π.Σ.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4.</w:t>
      </w:r>
      <w:r>
        <w:rPr>
          <w:lang w:val="el" w:eastAsia="el"/>
        </w:rPr>
        <w:t xml:space="preserve"> Υπηρεσία TAXISnet για καταχώρηση στο INTERNET.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Εθνικό Τυπογραφείο (για τη δημοσίευση στην Εφημερίδα της Κυβερνήσεως).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Αποδέκτες Πίνακα Α΄ εκτός του αριθ. 4.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5"/>
        <w:gridCol w:w="433"/>
        <w:gridCol w:w="433"/>
        <w:gridCol w:w="7680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ΣΤ΄ μόνο οι αριθ. 6 και 7.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3. 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Ζ΄ μόνο οι αριθ. 1 και 2.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 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Θ΄ μόνο οι αριθ. 3 και 14.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ΙΑ΄ εκτός έμμισθα υποθηκοφυλακεία και κτηματολογικά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γραφεία.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ΙΒ΄.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ΙΣΤ΄.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ΙΖ΄.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ΙΘ΄ εκτός των αριθ. 20, 21, 22, 23, 26, 27, 30, 31, 32, 41, 42,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43.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15.»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ΚΒ΄.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ΚΓ΄.</w:t>
            </w:r>
          </w:p>
        </w:tc>
      </w:tr>
    </w:tbl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18.</w:t>
      </w:r>
      <w:r>
        <w:rPr>
          <w:lang w:val="el" w:eastAsia="el"/>
        </w:rPr>
        <w:t xml:space="preserve"> Μ.Ε.Τ.Α. - Πανεπιστημίου 37, 101 65 ΑΘΗΝΑ.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19.</w:t>
      </w:r>
      <w:r>
        <w:rPr>
          <w:lang w:val="el" w:eastAsia="el"/>
        </w:rPr>
        <w:t xml:space="preserve"> Περιοδικό «ΦΟΡΟΛΟΓΙΚΗ ΕΠΙΘΕΩΡΗΣΗ»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Γραφείο Υπουργού Οικονομικών.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Γραφείο Αναπληρωτή Υπουργού Οικονομικών.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Γραφείο Γεν. Γραμματέα Φορολογικών και Τελωνειακών Θεμάτων.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4.</w:t>
      </w:r>
      <w:r>
        <w:rPr>
          <w:lang w:val="el" w:eastAsia="el"/>
        </w:rPr>
        <w:t xml:space="preserve"> Γραφείο Γενικού Γραμματέα Οικονομικών.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5.</w:t>
      </w:r>
      <w:r>
        <w:rPr>
          <w:lang w:val="el" w:eastAsia="el"/>
        </w:rPr>
        <w:t xml:space="preserve"> Γραφείο Γενικού Γραμματέα Γ.Γ.Π.Σ.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6.</w:t>
      </w:r>
      <w:r>
        <w:rPr>
          <w:lang w:val="el" w:eastAsia="el"/>
        </w:rPr>
        <w:t xml:space="preserve"> Γραφείο Γενικού Δ/ντή Φορολογίας (2).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7.</w:t>
      </w:r>
      <w:r>
        <w:rPr>
          <w:lang w:val="el" w:eastAsia="el"/>
        </w:rPr>
        <w:t xml:space="preserve"> Γραφεία κ. κ. Γενικών Διευθυντών.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8.</w:t>
      </w:r>
      <w:r>
        <w:rPr>
          <w:lang w:val="el" w:eastAsia="el"/>
        </w:rPr>
        <w:t xml:space="preserve"> Γραφείο Τύπου και Δημοσίων Σχέσεων.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9.</w:t>
      </w:r>
      <w:r>
        <w:rPr>
          <w:lang w:val="el" w:eastAsia="el"/>
        </w:rPr>
        <w:t xml:space="preserve"> Γραφείο Επικοινωνίας και Πληροφόρησης Πολιτών.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10.</w:t>
      </w:r>
      <w:r>
        <w:rPr>
          <w:lang w:val="el" w:eastAsia="el"/>
        </w:rPr>
        <w:t xml:space="preserve"> Τράπεζα Δημοσιονομικών Δεδομένων (Αμερικής 6, 10672, Αθήνα).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11.</w:t>
      </w:r>
      <w:r>
        <w:rPr>
          <w:lang w:val="el" w:eastAsia="el"/>
        </w:rPr>
        <w:t xml:space="preserve"> Δ/νση 16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Είσπραξης Δημοσίων Εσόδων.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12.</w:t>
      </w:r>
      <w:r>
        <w:rPr>
          <w:lang w:val="el" w:eastAsia="el"/>
        </w:rPr>
        <w:t xml:space="preserve"> Δ/νση 14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ΦΠΑ – Γραφείο Προϊσταμένου της Δ/νσης, Τμήμα Α΄(2), Β΄(2), Γ΄(2), Δ΄(2), Ε΄(2).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