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ΕΞΑΙΡΕΤΙΚΑ ΕΠΕΙΓΟΝ</w:t>
      </w:r>
    </w:p>
    <w:p>
      <w:pPr>
        <w:pStyle w:val="PreambelText"/>
        <w:spacing w:before="240" w:after="240"/>
        <w:rPr>
          <w:lang w:val="el" w:eastAsia="el"/>
        </w:rPr>
      </w:pPr>
      <w:r>
        <w:rPr>
          <w:b/>
          <w:bCs/>
          <w:lang w:val="el" w:eastAsia="el"/>
        </w:rPr>
        <w:t>ΑΝΑΡΤΗΤΕΑ ΣΤΟ</w:t>
      </w:r>
    </w:p>
    <w:p>
      <w:pPr>
        <w:pStyle w:val="PreambelText"/>
        <w:spacing w:before="240" w:after="240"/>
        <w:rPr>
          <w:lang w:val="el" w:eastAsia="el"/>
        </w:rPr>
      </w:pPr>
      <w:r>
        <w:rPr>
          <w:b/>
          <w:bCs/>
          <w:lang w:val="el" w:eastAsia="el"/>
        </w:rPr>
        <w:t>ΔΙΑΔΙΚΤΥΟ</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lang w:val="el" w:eastAsia="el"/>
        </w:rPr>
        <w:t xml:space="preserve">1) </w:t>
      </w:r>
      <w:r>
        <w:rPr>
          <w:b/>
          <w:bCs/>
          <w:lang w:val="el" w:eastAsia="el"/>
        </w:rPr>
        <w:t>ΓΕΝΙΚΗ ΓΡΑΜΜΑΤΕΙΑ ΦΟΡΟΛΟΓΙΚΩΝ &amp; ΤΕΛΩΝΕΙΑΚΩΝ ΘΕΜΑΤΩΝ</w:t>
      </w:r>
    </w:p>
    <w:p>
      <w:pPr>
        <w:pStyle w:val="PreambelText"/>
        <w:spacing w:before="240" w:after="240"/>
        <w:rPr>
          <w:lang w:val="el" w:eastAsia="el"/>
        </w:rPr>
      </w:pPr>
      <w:r>
        <w:rPr>
          <w:b/>
          <w:bCs/>
          <w:lang w:val="el" w:eastAsia="el"/>
        </w:rPr>
        <w:t>Α) ΓΕΝΙΚΗ ΔΙΕΥΘΥΝΣΗ ΦΟΡΟΛΟΓΙΑΣ ΔΙΕΥΘΥΝΣΗ 16</w:t>
      </w:r>
      <w:r>
        <w:rPr>
          <w:b/>
          <w:bCs/>
          <w:sz w:val="30"/>
          <w:szCs w:val="30"/>
          <w:vertAlign w:val="superscript"/>
          <w:lang w:val="el" w:eastAsia="el"/>
        </w:rPr>
        <w:t>η</w:t>
      </w:r>
      <w:r>
        <w:rPr>
          <w:b/>
          <w:bCs/>
          <w:lang w:val="el" w:eastAsia="el"/>
        </w:rPr>
        <w:t xml:space="preserve"> ΕΙΣΠΡΑΞΗΣ ΔΗΜΟΣΙΩΝ ΕΣΟΔΩΝ TMHMA: ΣΤ΄,</w:t>
      </w:r>
    </w:p>
    <w:p>
      <w:pPr>
        <w:pStyle w:val="PreambelText"/>
        <w:spacing w:before="240" w:after="240"/>
        <w:rPr>
          <w:lang w:val="el" w:eastAsia="el"/>
        </w:rPr>
      </w:pPr>
      <w:r>
        <w:rPr>
          <w:lang w:val="el" w:eastAsia="el"/>
        </w:rPr>
        <w:t>Τηλ.: 210 3635044</w:t>
      </w:r>
    </w:p>
    <w:p>
      <w:pPr>
        <w:pStyle w:val="PreambelText"/>
        <w:spacing w:before="240" w:after="240"/>
        <w:rPr>
          <w:lang w:val="el" w:eastAsia="el"/>
        </w:rPr>
      </w:pPr>
      <w:r>
        <w:rPr>
          <w:b/>
          <w:bCs/>
          <w:lang w:val="el" w:eastAsia="el"/>
        </w:rPr>
        <w:t>TMHMA: Α΄</w:t>
      </w:r>
    </w:p>
    <w:p>
      <w:pPr>
        <w:pStyle w:val="PreambelText"/>
        <w:spacing w:before="240" w:after="240"/>
        <w:rPr>
          <w:lang w:val="el" w:eastAsia="el"/>
        </w:rPr>
      </w:pPr>
      <w:r>
        <w:rPr>
          <w:lang w:val="el" w:eastAsia="el"/>
        </w:rPr>
        <w:t>Τηλ.: 210 3635963</w:t>
      </w:r>
    </w:p>
    <w:p>
      <w:pPr>
        <w:pStyle w:val="PreambelText"/>
        <w:spacing w:before="240" w:after="240"/>
        <w:rPr>
          <w:lang w:val="el" w:eastAsia="el"/>
        </w:rPr>
      </w:pPr>
      <w:r>
        <w:rPr>
          <w:b/>
          <w:bCs/>
          <w:lang w:val="el" w:eastAsia="el"/>
        </w:rPr>
        <w:t>Β) ΓΕΝΙΚΗ ΔΙΕΥΘΥΝΣΗ ΤΕΛΩΝΕΙΩΝ &amp; Ε.Φ.Κ. ΔΙΕΥΘΥΝΣΗ 19</w:t>
      </w:r>
      <w:r>
        <w:rPr>
          <w:b/>
          <w:bCs/>
          <w:sz w:val="30"/>
          <w:szCs w:val="30"/>
          <w:vertAlign w:val="superscript"/>
          <w:lang w:val="el" w:eastAsia="el"/>
        </w:rPr>
        <w:t>η</w:t>
      </w:r>
      <w:r>
        <w:rPr>
          <w:b/>
          <w:bCs/>
          <w:lang w:val="el" w:eastAsia="el"/>
        </w:rPr>
        <w:t xml:space="preserve"> ΤΕΛΩΝΕΙΑΚΩΝ</w:t>
      </w:r>
    </w:p>
    <w:p>
      <w:pPr>
        <w:pStyle w:val="PreambelText"/>
        <w:spacing w:before="240" w:after="240"/>
        <w:rPr>
          <w:lang w:val="el" w:eastAsia="el"/>
        </w:rPr>
      </w:pPr>
      <w:r>
        <w:rPr>
          <w:b/>
          <w:bCs/>
          <w:lang w:val="el" w:eastAsia="el"/>
        </w:rPr>
        <w:t>ΔΙΑΔΙΚΑΣΙΩΝ ΤΜΗΜΑ Δ΄</w:t>
      </w:r>
    </w:p>
    <w:p>
      <w:pPr>
        <w:pStyle w:val="PreambelText"/>
        <w:spacing w:before="240" w:after="240"/>
        <w:rPr>
          <w:lang w:val="el" w:eastAsia="el"/>
        </w:rPr>
      </w:pPr>
      <w:r>
        <w:rPr>
          <w:lang w:val="el" w:eastAsia="el"/>
        </w:rPr>
        <w:t>Τηλ.: 210 6987439</w:t>
      </w:r>
    </w:p>
    <w:p>
      <w:pPr>
        <w:pStyle w:val="PreambelText"/>
        <w:spacing w:before="240" w:after="240"/>
        <w:rPr>
          <w:lang w:val="el" w:eastAsia="el"/>
        </w:rPr>
      </w:pPr>
      <w:r>
        <w:rPr>
          <w:lang w:val="el" w:eastAsia="el"/>
        </w:rPr>
        <w:t xml:space="preserve">2) </w:t>
      </w:r>
      <w:r>
        <w:rPr>
          <w:b/>
          <w:bCs/>
          <w:lang w:val="el" w:eastAsia="el"/>
        </w:rPr>
        <w:t>ΓΕΝΙΚΗ ΓΡΑΜΜΑΤΕΙΑ ΠΛΗΡΟΦΟΡΙΑΚΩΝ ΣΥΣΤΗΜΑΤΩΝ</w:t>
      </w:r>
    </w:p>
    <w:p>
      <w:pPr>
        <w:pStyle w:val="PreambelText"/>
        <w:spacing w:before="240" w:after="240"/>
        <w:rPr>
          <w:lang w:val="el" w:eastAsia="el"/>
        </w:rPr>
      </w:pPr>
      <w:r>
        <w:rPr>
          <w:b/>
          <w:bCs/>
          <w:lang w:val="el" w:eastAsia="el"/>
        </w:rPr>
        <w:t>ΓΕΝΙΚΗ Δ/ΝΣΗ ΚΕ.Π.Υ.Ο. Δ/ΝΣΗ 30 ΕΦΑΡΜΟΓΩΝ Η/Υ ΤΜΗΜΑ: Β΄,</w:t>
      </w:r>
    </w:p>
    <w:p>
      <w:pPr>
        <w:pStyle w:val="PreambelText"/>
        <w:spacing w:before="240" w:after="240"/>
        <w:rPr>
          <w:lang w:val="el" w:eastAsia="el"/>
        </w:rPr>
      </w:pPr>
      <w:r>
        <w:rPr>
          <w:lang w:val="el" w:eastAsia="el"/>
        </w:rPr>
        <w:t>Τηλ.: 210 480 2251</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Τηλ.: 210 480 2401</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ΘEMA: Δημοσιοποίηση ληξιπρόθεσμων οφειλών προς το Δημόσιο</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΄Εχοντας υπόψη:</w:t>
      </w:r>
    </w:p>
    <w:p>
      <w:pPr>
        <w:spacing w:before="240" w:after="240"/>
        <w:rPr>
          <w:lang w:val="el" w:eastAsia="el"/>
        </w:rPr>
      </w:pPr>
      <w:r>
        <w:rPr>
          <w:lang w:val="el" w:eastAsia="el"/>
        </w:rPr>
        <w:t>1. Τις διατάξεις των παρ. 1,2, &amp; 4 του άρθρου 9, περί δημοσιοποίησης ληξιπρόθεσμων οφειλών προς το Δημόσιο, του ν.3943/2011(ΦΕΚ 66 Α’).</w:t>
      </w:r>
    </w:p>
    <w:p>
      <w:pPr>
        <w:spacing w:before="240" w:after="240"/>
        <w:rPr>
          <w:lang w:val="el" w:eastAsia="el"/>
        </w:rPr>
      </w:pPr>
      <w:r>
        <w:rPr>
          <w:lang w:val="el" w:eastAsia="el"/>
        </w:rPr>
        <w:t>2. Τις διατάξεις αρ. 2, 4, 5 § 2β, 6, 7, 8, 10,11,19§1 στοιχ. (θ) και (ιγ) 22 § 9, 24 του ν.2472/1997 (ΦΕΚ 50Α).</w:t>
      </w:r>
    </w:p>
    <w:p>
      <w:pPr>
        <w:spacing w:before="240" w:after="240"/>
        <w:rPr>
          <w:lang w:val="el" w:eastAsia="el"/>
        </w:rPr>
      </w:pPr>
      <w:r>
        <w:rPr>
          <w:lang w:val="el" w:eastAsia="el"/>
        </w:rPr>
        <w:t>3. Τις § 1 και 2 του άρθρου 3 της ΑΥΟ Δ6Α1083438 ΕΞ 22-6-2010 (ΦΕΚ 920 Τεύχος Β) , όπως ισχύει.</w:t>
      </w:r>
    </w:p>
    <w:p>
      <w:pPr>
        <w:spacing w:before="240" w:after="240"/>
        <w:rPr>
          <w:lang w:val="el" w:eastAsia="el"/>
        </w:rPr>
      </w:pPr>
      <w:r>
        <w:rPr>
          <w:lang w:val="el" w:eastAsia="el"/>
        </w:rPr>
        <w:t>4. Τις διατάξεις των άρθρων 5, 6 του ν.δ. 356/74 (ΦΕΚ 90 Α), όπως ισχύουν.</w:t>
      </w:r>
    </w:p>
    <w:p>
      <w:pPr>
        <w:spacing w:before="240" w:after="240"/>
        <w:rPr>
          <w:lang w:val="el" w:eastAsia="el"/>
        </w:rPr>
      </w:pPr>
      <w:r>
        <w:rPr>
          <w:lang w:val="el" w:eastAsia="el"/>
        </w:rPr>
        <w:t>5. Τη διαπίστωση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Δημοσιοποίηση στοιχείων</w:t>
      </w:r>
    </w:p>
    <w:p>
      <w:pPr>
        <w:spacing w:before="240" w:after="240"/>
        <w:rPr>
          <w:lang w:val="el" w:eastAsia="el"/>
        </w:rPr>
      </w:pPr>
      <w:r>
        <w:rPr>
          <w:lang w:val="el" w:eastAsia="el"/>
        </w:rPr>
        <w:t>Την ηλεκτρονική δημοσιοποίηση σε δικτυακό τόπο του Υπουργείου Οικονομικών των στοιχείων των συνολικών ληξιπρόθεσμων οφειλών προς το Δημόσιο από κάθε αιτία, όταν αυτές υπερβαίνουν το ποσό των 150.000 ευρώ ανά φυσικό ή νομικό πρόσωπο και εφόσον η καταβολή τους καθυστερεί για χρονικό διάστημα μεγαλύτερο του έτους.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ανάρτησης και περιεχόμενο των δημοσιοποιούμενωνστοιχείων</w:t>
      </w:r>
    </w:p>
    <w:p>
      <w:pPr>
        <w:spacing w:before="240" w:after="240"/>
        <w:rPr>
          <w:lang w:val="el" w:eastAsia="el"/>
        </w:rPr>
      </w:pPr>
      <w:r>
        <w:rPr>
          <w:lang w:val="el" w:eastAsia="el"/>
        </w:rPr>
        <w:t>Αναρτώνται συνολικές ληξιπρόθεσμες κατά Κ.Ε.Δ.Ε., βασικές οφειλές προς το Δημόσιο άνω των εκατόν πενήντα χιλιάδων (150.000) ευρώ, βεβαιωμένες, ανά φυσικό ή νομικό πρόσωπο, των οποίων η καταβολή, κατά την ημερομηνία άντλησης των στοιχείων από τις βάσεις δεδομένων των Πληροφοριακών Συστημάτων Φορολογίας (TAXIS) και Τελωνείων (ICIS), καθυστερεί για χρονικό διάστημα μεγαλύτερο του έτους.</w:t>
      </w:r>
    </w:p>
    <w:p>
      <w:pPr>
        <w:spacing w:before="240" w:after="240"/>
        <w:rPr>
          <w:lang w:val="el" w:eastAsia="el"/>
        </w:rPr>
      </w:pPr>
      <w:r>
        <w:rPr>
          <w:lang w:val="el" w:eastAsia="el"/>
        </w:rPr>
        <w:t>Οι ανωτέρω οφειλές δύνανται να δημοσιοποιούνται σε χωριστές καταστάσεις με βάση την κατηγορία ή/και τη νομική μορφή των οφειλετών.</w:t>
      </w:r>
    </w:p>
    <w:p>
      <w:pPr>
        <w:spacing w:before="240" w:after="240"/>
        <w:rPr>
          <w:lang w:val="el" w:eastAsia="el"/>
        </w:rPr>
      </w:pPr>
      <w:r>
        <w:rPr>
          <w:lang w:val="el" w:eastAsia="el"/>
        </w:rPr>
        <w:t>Στο ποσό των ανωτέρω οφειλών που δημοσιοποιούνται προστίθενται και οι προσαυξήσεις εκπρόθεσμης καταβολής και λοιπές επιβαρύνσεις, με ημερομηνία υπολογισμού την ημερομηνία άντλησης των στοιχείων.</w:t>
      </w:r>
    </w:p>
    <w:p>
      <w:pPr>
        <w:spacing w:before="240" w:after="240"/>
        <w:rPr>
          <w:lang w:val="el" w:eastAsia="el"/>
        </w:rPr>
      </w:pPr>
      <w:r>
        <w:rPr>
          <w:lang w:val="el" w:eastAsia="el"/>
        </w:rPr>
        <w:t>Στα στοιχεία της δημοσιοποίησης περιλαμβάνονται:</w:t>
      </w:r>
    </w:p>
    <w:p>
      <w:pPr>
        <w:pStyle w:val="MainText"/>
        <w:spacing w:before="120" w:after="0"/>
        <w:rPr>
          <w:lang w:val="el" w:eastAsia="el"/>
        </w:rPr>
      </w:pPr>
      <w:r>
        <w:rPr>
          <w:b/>
          <w:bCs/>
          <w:lang w:val="el" w:eastAsia="el"/>
        </w:rPr>
        <w:t>1.</w:t>
      </w:r>
      <w:r>
        <w:rPr>
          <w:lang w:val="el" w:eastAsia="el"/>
        </w:rPr>
        <w:t xml:space="preserve"> Για φυσικά πρόσωπα: ΑΦΜ, επώνυμο, όνομα, όνομα πατέρα, όνομα μητέρας, βασική οφειλή (Δ.Ο.Υ. /ΤΕΛΩΝΕΙΑ), συνεισπραττόμενα, σύνολο οφειλόμενου ποσού και παρατηρήσεις.</w:t>
      </w:r>
    </w:p>
    <w:p>
      <w:pPr>
        <w:pStyle w:val="MainText"/>
        <w:spacing w:before="120" w:after="0"/>
        <w:rPr>
          <w:lang w:val="el" w:eastAsia="el"/>
        </w:rPr>
      </w:pPr>
      <w:r>
        <w:rPr>
          <w:b/>
          <w:bCs/>
          <w:lang w:val="el" w:eastAsia="el"/>
        </w:rPr>
        <w:t>2.</w:t>
      </w:r>
      <w:r>
        <w:rPr>
          <w:lang w:val="el" w:eastAsia="el"/>
        </w:rPr>
        <w:t xml:space="preserve"> Για νομικά πρόσωπα: ΑΦΜ, επωνυμία, διεύθυνση έδρας, βασική οφειλή (Δ.Ο.Υ. /ΤΕΛΩΝΕΙΑ), συνεισπραττόμενα, σύνολο οφειλόμενου ποσού και παρατηρήσεις.</w:t>
      </w:r>
    </w:p>
    <w:p>
      <w:pPr>
        <w:pStyle w:val="MainText"/>
        <w:spacing w:before="120" w:after="0"/>
        <w:rPr>
          <w:lang w:val="el" w:eastAsia="el"/>
        </w:rPr>
      </w:pPr>
      <w:r>
        <w:rPr>
          <w:b/>
          <w:bCs/>
          <w:lang w:val="el" w:eastAsia="el"/>
        </w:rPr>
        <w:t>3.</w:t>
      </w:r>
      <w:r>
        <w:rPr>
          <w:lang w:val="el" w:eastAsia="el"/>
        </w:rPr>
        <w:t xml:space="preserve"> Ειδικά για τους ανηλίκους: αναγράφονται μόνο τα αρχικά του επωνύμου, του ονόματος, του ονόματος του πατέρα, του ονόματος της μητέρας, βασική οφειλή (Δ.Ο.Υ. /ΤΕΛΩΝΕΙΑ), συνεισπραττόμενα, σύνολο οφειλόμενου ποσού, καθώς και η ένδειξη «ανήλικος» στις παρατηρήσεις, μη αναγραφομένου του ΑΦΜ.</w:t>
      </w:r>
    </w:p>
    <w:p>
      <w:pPr>
        <w:pStyle w:val="MainText"/>
        <w:spacing w:before="120" w:after="0"/>
        <w:rPr>
          <w:lang w:val="el" w:eastAsia="el"/>
        </w:rPr>
      </w:pPr>
      <w:r>
        <w:rPr>
          <w:b/>
          <w:bCs/>
          <w:lang w:val="el" w:eastAsia="el"/>
        </w:rPr>
        <w:t>4.</w:t>
      </w:r>
      <w:r>
        <w:rPr>
          <w:lang w:val="el" w:eastAsia="el"/>
        </w:rPr>
        <w:t xml:space="preserve"> Στις περιπτώσεις αποβιωσάντων οφειλετών: προστίθεται η ένδειξη «κληρονόμοι» πριν το ονοματεπώνυμο των αποβιωσάντων.</w:t>
      </w:r>
    </w:p>
    <w:p>
      <w:pPr>
        <w:pStyle w:val="MainText"/>
        <w:spacing w:before="120" w:after="0"/>
        <w:rPr>
          <w:lang w:val="el" w:eastAsia="el"/>
        </w:rPr>
      </w:pPr>
      <w:r>
        <w:rPr>
          <w:b/>
          <w:bCs/>
          <w:lang w:val="el" w:eastAsia="el"/>
        </w:rPr>
        <w:t>5.</w:t>
      </w:r>
      <w:r>
        <w:rPr>
          <w:lang w:val="el" w:eastAsia="el"/>
        </w:rPr>
        <w:t xml:space="preserve"> Η ανάρτηση γίνεται με τα στοιχεία που αντλεί η ΓΓΠΣ από τα ως άνω πληροφοριακά συστήματα. Υπεύθυνες για την ορθή και πλήρη ενημέρωση των μηχανογραφικών συστημάτων είναι οι κατά περίπτωση και καθ΄ ύλην αρμόδιες περιφερειακές υπηρεσίες.</w:t>
      </w:r>
    </w:p>
    <w:p>
      <w:pPr>
        <w:pStyle w:val="MainText"/>
        <w:spacing w:before="120" w:after="0"/>
        <w:rPr>
          <w:lang w:val="el" w:eastAsia="el"/>
        </w:rPr>
      </w:pPr>
      <w:r>
        <w:rPr>
          <w:b/>
          <w:bCs/>
          <w:lang w:val="el" w:eastAsia="el"/>
        </w:rPr>
        <w:t>6.</w:t>
      </w:r>
      <w:r>
        <w:rPr>
          <w:lang w:val="el" w:eastAsia="el"/>
        </w:rPr>
        <w:t xml:space="preserve"> Σε εμφανές μέρος της δημοσιοποιούμενης κατάστασης καταχωρίζεται η ημερομηνία άντλησης των δεδομένων από τις βάσεις δεδομένων της Γ.Γ.Π.Σ.</w:t>
      </w:r>
    </w:p>
    <w:p>
      <w:pPr>
        <w:pStyle w:val="MainText"/>
        <w:spacing w:before="120" w:after="0"/>
        <w:rPr>
          <w:lang w:val="el" w:eastAsia="el"/>
        </w:rPr>
      </w:pPr>
      <w:r>
        <w:rPr>
          <w:b/>
          <w:bCs/>
          <w:lang w:val="el" w:eastAsia="el"/>
        </w:rPr>
        <w:t>7.</w:t>
      </w:r>
      <w:r>
        <w:rPr>
          <w:lang w:val="el" w:eastAsia="el"/>
        </w:rPr>
        <w:t xml:space="preserve"> Η κατάσταση φέρει τον τίτλο: «Δημοσιοποίηση ληξιπρόθεσμων οφειλών προς το Δημόσιο βάσει των διατάξεων του άρθρου 9 ν.3943/2011(ΦΕΚ 66Α)». Εάν η δημοσιοποίηση γίνεται σε ξεχωριστές καταστάσεις ο τίτλος διαφοροποιείται με βάση το επιμέρους περιεχόμενο αυτών.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Από τη ρύθμιση της παρ. 1 του άρθρου 9 του ν.3943/2011 (ΦΕΚ 66 Α) εξαιρούνται α) οι οφειλές για τις οποίες έχει χορηγηθεί διευκόλυνση τμηματικής καταβολής ή έχουν υπαχθεί σε νομοθετική ρύθμιση τμηματικής καταβολής ληξιπροθέσμων οφειλών, για όσο χρόνο διαρκεί η διευκόλυνση ή η ρύθμιση και εφόσον ο οφειλέτης είναι συνεπής με τους όρους ισχύος τους, β) οι οφειλές για την καταβολή των οποίων έχει διαταχθεί αναστολή με δικαστική απόφαση.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Εφαρμογή των διατάξεων των § 1,2 &amp; 4 του άρθρου 9 </w:t>
      </w:r>
    </w:p>
    <w:p>
      <w:pPr>
        <w:spacing w:before="240" w:after="240"/>
        <w:rPr>
          <w:lang w:val="el" w:eastAsia="el"/>
        </w:rPr>
      </w:pPr>
      <w:r>
        <w:rPr>
          <w:b/>
          <w:bCs/>
          <w:lang w:val="el" w:eastAsia="el"/>
        </w:rPr>
        <w:t>του ν.3943/11 σεσυνδυασμό με τις διατάξεις του ν.2472/97.</w:t>
      </w:r>
    </w:p>
    <w:p>
      <w:pPr>
        <w:spacing w:before="240" w:after="240"/>
        <w:rPr>
          <w:lang w:val="el" w:eastAsia="el"/>
        </w:rPr>
      </w:pPr>
      <w:r>
        <w:rPr>
          <w:lang w:val="el" w:eastAsia="el"/>
        </w:rPr>
        <w:t>Ο «υπεύθυνος επεξεργασίας», ενεργεί ως προς την εκτέλεση της παρούσας σύμφωνα με τα οριζόμενα στις § 1 , 2 &amp; 4 του αρ. 9 ν. 3943/2011 και τις διατάξεις του ν. 2472/1997, ιδία ως προς την εκπλήρωση των υποχρεώσεών του που προκύπτουν από τη διατύπωση των άρθρων 6, και 19 § 1 στοιχ. (θ) &amp; (ιγ) του προαναφερθέντος νόμου.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Τεχνικές Προδιαγραφές</w:t>
      </w:r>
    </w:p>
    <w:p>
      <w:pPr>
        <w:spacing w:before="240" w:after="240"/>
        <w:rPr>
          <w:lang w:val="el" w:eastAsia="el"/>
        </w:rPr>
      </w:pPr>
      <w:r>
        <w:rPr>
          <w:lang w:val="el" w:eastAsia="el"/>
        </w:rPr>
        <w:t>Όλες οι τεχνικές προδιαγραφές καθορίζονται από την Γενική Γραμματεία Πληροφοριακών Συστημάτων, η οποία είναι υπεύθυνη για την άντληση των δεδομένων από τα πληροφοριακά συστήματα, την ασφαλή επεξεργασία αυτών, καθώς και για την ασφαλή ανάρτησή τους, ώστε να εξασφαλίζεται η μη αλλοίωσή τους.</w:t>
      </w:r>
    </w:p>
    <w:p>
      <w:pPr>
        <w:spacing w:before="240" w:after="240"/>
        <w:rPr>
          <w:lang w:val="el" w:eastAsia="el"/>
        </w:rPr>
      </w:pPr>
      <w:r>
        <w:rPr>
          <w:lang w:val="el" w:eastAsia="el"/>
        </w:rPr>
        <w:t xml:space="preserve">Τα ανωτέρω στοιχεία δημοσιεύονται στο δικτυακό τόπο </w:t>
      </w:r>
      <w:hyperlink r:id="rId4" w:history="1">
        <w:r>
          <w:rPr>
            <w:rStyle w:val="Hyperlink"/>
            <w:color w:val="0000EE"/>
            <w:u w:color="0000EE"/>
            <w:lang w:val="el" w:eastAsia="el"/>
          </w:rPr>
          <w:t>www.gsis.gr</w:t>
        </w:r>
      </w:hyperlink>
      <w:r>
        <w:rPr>
          <w:lang w:val="el" w:eastAsia="el"/>
        </w:rPr>
        <w:t xml:space="preserve"> της Γ.Γ.Π.Σ. του Υπουργείου Οικονομικών.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Χρόνος Επικαιροποίησης Κατάστασης Δημοσιοποιούμενων Στοιχείων</w:t>
      </w:r>
    </w:p>
    <w:p>
      <w:pPr>
        <w:spacing w:before="240" w:after="240"/>
        <w:rPr>
          <w:lang w:val="el" w:eastAsia="el"/>
        </w:rPr>
      </w:pPr>
      <w:r>
        <w:rPr>
          <w:lang w:val="el" w:eastAsia="el"/>
        </w:rPr>
        <w:t>Η κατάσταση δημοσιοποιούμενων οφειλών επικαιροποιείται στο σύνολό της ανά τρίμηνο. Η ήδη αναρτημένη κατάσταση αντικαθίσταται με άλλη, που προκύπτει από νέα άντληση στοιχείων, σύμφωνα με τα οριζόμενα στα ανωτέρω άρθρα.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Προϋποθέσεις και διαδικασία άρσης/διόρθωσης δημοσιοποίησηςεγγραφής από την κατάσταση</w:t>
      </w:r>
    </w:p>
    <w:p>
      <w:pPr>
        <w:spacing w:before="240" w:after="240"/>
        <w:rPr>
          <w:lang w:val="el" w:eastAsia="el"/>
        </w:rPr>
      </w:pPr>
      <w:r>
        <w:rPr>
          <w:lang w:val="el" w:eastAsia="el"/>
        </w:rPr>
        <w:t>Άρση / διόρθωση δημοσιοποίησης, πραγματοποιείται κατόπιν αιτήματος του οφειλέτη, μέσω της αρμόδιας υπηρεσίας για την παρακολούθηση τμήματος ή όλης της δημοσιοποιημένης οφειλής, λόγω μερικής ή ολικής εξόφλησης, μερικής ή ολικής υπαγωγής του στις εξαιρέσεις του άρθρου 3 της παρούσας ή για οποιοδήποτε άλλο νόμιμο λόγο που τελικά μεταβάλλει τη συνολική του οφειλή. Η υπηρεσία που δέχεται το αίτημα, μετά από σχετική έρευνα και εξέταση των επικαλούμενων λόγων, κατά το μέρος της αρμοδιότητάς της και αφού διαπιστώσει την βασιμότητα αυτών και προβεί στις τυχόν απαιτούμενες ενέργειες για την ενημέρωση της βάσης δεδομένων του Πληροφοριακού Συστήματος, το διαβιβάζει σε περίπτωση θετικής εισήγησης στη Γ.Γ.Π.Σ.. Η Γ.Γ.Π.Σ. αντλεί εκ νέου συνολικά στοιχεία για το συγκεκριμένο οφειλέτη και εφόσον πράγματι συνολικά μεταβάλλεται το ποσό, προβαίνει στην άρση /διόρθωσή του.</w:t>
      </w:r>
    </w:p>
    <w:p>
      <w:pPr>
        <w:spacing w:before="240" w:after="240"/>
        <w:rPr>
          <w:lang w:val="el" w:eastAsia="el"/>
        </w:rPr>
      </w:pPr>
      <w:r>
        <w:rPr>
          <w:lang w:val="el" w:eastAsia="el"/>
        </w:rPr>
        <w:t>Η αρμόδια υπηρεσία για την παρακολούθηση τμήματος ή όλης της δημοσιοποιημένης οφειλής, δύναται, για τους ίδιους ως άνω λόγους και με την ίδια διαδικασία, να ενεργεί και αυτεπάγγελτα διαβιβάζοντας στη Γ.Γ.Π.Σ. δικό της αίτημα.</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Ακριβές αντίγραφο Ο ΥΠΟΥΡΓΟΣ ΟΙΚΟΝΟΜΙΚΩΝ</w:t>
      </w:r>
    </w:p>
    <w:p>
      <w:pPr>
        <w:spacing w:before="240" w:after="240"/>
        <w:rPr>
          <w:lang w:val="el" w:eastAsia="el"/>
        </w:rPr>
      </w:pPr>
      <w:r>
        <w:rPr>
          <w:b/>
          <w:bCs/>
          <w:lang w:val="el" w:eastAsia="el"/>
        </w:rPr>
        <w:t>Η Προϊσταμένη της Γραμματείας ΕΥΑΓΓΕΛΟΣ ΒΕΝΙΖΕΛΟΣ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τη δημοσίευση)</w:t>
      </w:r>
    </w:p>
    <w:p>
      <w:pPr>
        <w:pStyle w:val="MainText"/>
        <w:spacing w:before="120" w:after="0"/>
        <w:rPr>
          <w:lang w:val="el" w:eastAsia="el"/>
        </w:rPr>
      </w:pPr>
      <w:r>
        <w:rPr>
          <w:b/>
          <w:bCs/>
          <w:lang w:val="el" w:eastAsia="el"/>
        </w:rPr>
        <w:t>2.</w:t>
      </w:r>
      <w:r>
        <w:rPr>
          <w:lang w:val="el" w:eastAsia="el"/>
        </w:rPr>
        <w:t xml:space="preserve"> Ολες τις Δ.Ο.Υ</w:t>
      </w:r>
    </w:p>
    <w:p>
      <w:pPr>
        <w:pStyle w:val="MainText"/>
        <w:spacing w:before="120" w:after="0"/>
        <w:rPr>
          <w:lang w:val="el" w:eastAsia="el"/>
        </w:rPr>
      </w:pPr>
      <w:r>
        <w:rPr>
          <w:b/>
          <w:bCs/>
          <w:lang w:val="el" w:eastAsia="el"/>
        </w:rPr>
        <w:t>3.</w:t>
      </w:r>
      <w:r>
        <w:rPr>
          <w:lang w:val="el" w:eastAsia="el"/>
        </w:rPr>
        <w:t xml:space="preserve"> Όλα τα Τελωνεία</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έως και Γ (εκτός των Δ.Ο.Υ και των Τελωνείων)</w:t>
      </w:r>
    </w:p>
    <w:p>
      <w:pPr>
        <w:pStyle w:val="MainText"/>
        <w:spacing w:before="120" w:after="0"/>
        <w:rPr>
          <w:lang w:val="el" w:eastAsia="el"/>
        </w:rPr>
      </w:pPr>
      <w:r>
        <w:rPr>
          <w:b/>
          <w:bCs/>
          <w:lang w:val="el" w:eastAsia="el"/>
        </w:rPr>
        <w:t>2.</w:t>
      </w:r>
      <w:r>
        <w:rPr>
          <w:lang w:val="el" w:eastAsia="el"/>
        </w:rPr>
        <w:t xml:space="preserve"> Αποδέκτες πινάκων από ΣΤ εως και τέλος</w:t>
      </w:r>
    </w:p>
    <w:p>
      <w:pPr>
        <w:spacing w:before="240" w:after="240"/>
        <w:rPr>
          <w:lang w:val="el" w:eastAsia="el"/>
        </w:rPr>
      </w:pPr>
      <w:r>
        <w:rPr>
          <w:b/>
          <w:bCs/>
          <w:lang w:val="el" w:eastAsia="el"/>
        </w:rPr>
        <w:t>Γ.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88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κ. Υπουργού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Γραφεία κ.κ. Αναπληρωτών Υπουργών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Γραφεία κ.κ. Γενικών Γραμματέων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Γραφεία κ.κ. Γεν. Διευθυντών</w:t>
            </w:r>
          </w:p>
          <w:p>
            <w:pPr>
              <w:spacing w:before="240"/>
              <w:rPr>
                <w:b w:val="0"/>
                <w:bCs w:val="0"/>
                <w:i w:val="0"/>
                <w:iCs w:val="0"/>
                <w:smallCaps w:val="0"/>
                <w:color w:val="000000"/>
                <w:lang w:val="el" w:eastAsia="el"/>
              </w:rPr>
            </w:pPr>
            <w:r>
              <w:rPr>
                <w:b w:val="0"/>
                <w:bCs w:val="0"/>
                <w:i w:val="0"/>
                <w:iCs w:val="0"/>
                <w:smallCaps w:val="0"/>
                <w:color w:val="000000"/>
                <w:lang w:val="el" w:eastAsia="el"/>
              </w:rPr>
              <w:t>Όλες τις Διευθύνσεις, Τμήματα και Ανεξάρτητα Γραφεία του Υπουργείου</w:t>
            </w:r>
          </w:p>
        </w:tc>
      </w:tr>
    </w:tbl>
    <w:p>
      <w:pPr>
        <w:spacing w:before="240" w:after="240"/>
        <w:rPr>
          <w:lang w:val="el" w:eastAsia="el"/>
        </w:rPr>
      </w:pPr>
      <w:r>
        <w:rPr>
          <w:lang w:val="el" w:eastAsia="el"/>
        </w:rPr>
        <w:t>Οικονομικών</w:t>
      </w:r>
    </w:p>
    <w:p>
      <w:pPr>
        <w:spacing w:before="240" w:after="240"/>
        <w:rPr>
          <w:lang w:val="el" w:eastAsia="el"/>
        </w:rPr>
      </w:pPr>
      <w:r>
        <w:rPr>
          <w:lang w:val="el" w:eastAsia="el"/>
        </w:rPr>
        <w:t>6 .Διεύθυνση 16</w:t>
      </w:r>
      <w:r>
        <w:rPr>
          <w:sz w:val="30"/>
          <w:szCs w:val="30"/>
          <w:vertAlign w:val="superscript"/>
          <w:lang w:val="el" w:eastAsia="el"/>
        </w:rPr>
        <w:t>η</w:t>
      </w:r>
      <w:r>
        <w:rPr>
          <w:lang w:val="el" w:eastAsia="el"/>
        </w:rPr>
        <w:t xml:space="preserve"> – Τμήματα Α,Β,Γ,Δ,Ε,ΣΤ, Κλιμάκιο στο ΚΕΠΥΟ (20 αντίγραφα).</w:t>
      </w:r>
    </w:p>
    <w:p>
      <w:pPr>
        <w:spacing w:before="240" w:after="240"/>
        <w:rPr>
          <w:lang w:val="el" w:eastAsia="el"/>
        </w:rPr>
      </w:pPr>
      <w:r>
        <w:rPr>
          <w:lang w:val="el" w:eastAsia="el"/>
        </w:rPr>
        <w:t>7 . Δ. 19</w:t>
      </w:r>
    </w:p>
    <w:p>
      <w:pPr>
        <w:spacing w:before="240" w:after="240"/>
        <w:rPr>
          <w:lang w:val="el" w:eastAsia="el"/>
        </w:rPr>
      </w:pPr>
      <w:r>
        <w:rPr>
          <w:lang w:val="el" w:eastAsia="el"/>
        </w:rPr>
        <w:t>8 .Γ.Γ.Π.Σ / Δ.30</w:t>
      </w:r>
    </w:p>
    <w:p>
      <w:pPr>
        <w:spacing w:before="240" w:after="240"/>
        <w:rPr>
          <w:lang w:val="el" w:eastAsia="el"/>
        </w:rPr>
      </w:pPr>
      <w:r>
        <w:rPr>
          <w:lang w:val="el" w:eastAsia="el"/>
        </w:rPr>
        <w:t>9 .ΠΟΕ – Δ.Ο.Υ Περιοδικό Φορολογική Επιθεώρηση</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.Γραφείο Επικοινωνίας και Πληροφόρησης Πολιτών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