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A)ΓΕΝΙΚΗ ΓΡΑΜΜΑΤΕΙΑ ΦΟΡΟΛΟΓΙΚΩΝ</w:t>
      </w:r>
    </w:p>
    <w:p>
      <w:pPr>
        <w:pStyle w:val="Title"/>
        <w:spacing w:before="120" w:after="360"/>
        <w:rPr>
          <w:lang w:val="el" w:eastAsia="el"/>
        </w:rPr>
      </w:pPr>
      <w:r>
        <w:rPr>
          <w:b/>
          <w:bCs/>
          <w:lang w:val="el" w:eastAsia="el"/>
        </w:rPr>
        <w:t>&amp; ΤΕΛΩΝΕΙΑΚΩΝ ΘΕΜΑΤΩΝ</w:t>
      </w:r>
    </w:p>
    <w:p>
      <w:pPr>
        <w:pStyle w:val="PreambelText"/>
        <w:spacing w:before="240" w:after="240"/>
        <w:rPr>
          <w:lang w:val="el" w:eastAsia="el"/>
        </w:rPr>
      </w:pPr>
      <w:r>
        <w:rPr>
          <w:lang w:val="el" w:eastAsia="el"/>
        </w:rPr>
        <w:t>ΓΕΝΙΚΗ ΔΙΕΥΘΥΝΣΗ ΦΟΡΟΛΟΓΙΑΣ ΔΙΕΥΘΥΝΣΗ ΒΙΒΛΙΩΝ &amp; ΣΤΟΙΧΕΙΩΝ (15</w:t>
      </w:r>
      <w:r>
        <w:rPr>
          <w:sz w:val="30"/>
          <w:szCs w:val="30"/>
          <w:vertAlign w:val="superscript"/>
          <w:lang w:val="el" w:eastAsia="el"/>
        </w:rPr>
        <w:t>η</w:t>
      </w:r>
      <w:r>
        <w:rPr>
          <w:lang w:val="el" w:eastAsia="el"/>
        </w:rPr>
        <w:t>)</w:t>
      </w:r>
    </w:p>
    <w:p>
      <w:pPr>
        <w:pStyle w:val="PreambelText"/>
        <w:spacing w:before="240" w:after="240"/>
        <w:rPr>
          <w:lang w:val="el" w:eastAsia="el"/>
        </w:rPr>
      </w:pPr>
      <w:r>
        <w:rPr>
          <w:lang w:val="el" w:eastAsia="el"/>
        </w:rPr>
        <w:t>ΤΜΗΜΑΤΑ Α΄- Β΄ - Γ΄</w:t>
      </w:r>
    </w:p>
    <w:p>
      <w:pPr>
        <w:pStyle w:val="PreambelText"/>
        <w:spacing w:before="240" w:after="240"/>
        <w:rPr>
          <w:lang w:val="el" w:eastAsia="el"/>
        </w:rPr>
      </w:pPr>
      <w:r>
        <w:rPr>
          <w:b/>
          <w:bCs/>
          <w:lang w:val="el" w:eastAsia="el"/>
        </w:rPr>
        <w:t>Β) ΓΕΝΙΚΗ ΓΡΑΜΜΑΤΕΙΑ</w:t>
      </w:r>
    </w:p>
    <w:p>
      <w:pPr>
        <w:pStyle w:val="PreambelText"/>
        <w:spacing w:before="240" w:after="240"/>
        <w:rPr>
          <w:lang w:val="el" w:eastAsia="el"/>
        </w:rPr>
      </w:pPr>
      <w:r>
        <w:rPr>
          <w:b/>
          <w:bCs/>
          <w:lang w:val="el" w:eastAsia="el"/>
        </w:rPr>
        <w:t xml:space="preserve">ΠΛΗΡΟΦΟΡΙΑΚΩΝ ΣΥΣΤΗΜΑΤΩΝ (Γ.Γ.Π.Σ.) </w:t>
      </w:r>
      <w:r>
        <w:rPr>
          <w:lang w:val="el" w:eastAsia="el"/>
        </w:rPr>
        <w:t>ΓΕΝΙΚΗ Δ/ΝΣΗ ΚΕΠΥΟ</w:t>
      </w:r>
    </w:p>
    <w:p>
      <w:pPr>
        <w:pStyle w:val="PreambelText"/>
        <w:spacing w:before="240" w:after="240"/>
        <w:rPr>
          <w:lang w:val="el" w:eastAsia="el"/>
        </w:rPr>
      </w:pPr>
      <w:r>
        <w:rPr>
          <w:lang w:val="el" w:eastAsia="el"/>
        </w:rPr>
        <w:t>Δ/ΝΣΗ ΕΦΑΡΜΟΓΩΝ Η/Υ (Δ30)</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Ταχ. Δ/νση : </w:t>
      </w:r>
      <w:r>
        <w:rPr>
          <w:lang w:val="el" w:eastAsia="el"/>
        </w:rPr>
        <w:t>Καρ.Σερβίας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Α.Λουγκάνη – Μ.Σταρά</w:t>
      </w:r>
    </w:p>
    <w:p>
      <w:pPr>
        <w:spacing w:before="240" w:after="240"/>
        <w:rPr>
          <w:lang w:val="el" w:eastAsia="el"/>
        </w:rPr>
      </w:pPr>
      <w:r>
        <w:rPr>
          <w:b/>
          <w:bCs/>
          <w:lang w:val="el" w:eastAsia="el"/>
        </w:rPr>
        <w:t xml:space="preserve">Τηλέφωνο : </w:t>
      </w:r>
      <w:r>
        <w:rPr>
          <w:lang w:val="el" w:eastAsia="el"/>
        </w:rPr>
        <w:t>210 3610065 - 210 3638389</w:t>
      </w:r>
    </w:p>
    <w:p>
      <w:pPr>
        <w:spacing w:before="240" w:after="240"/>
        <w:rPr>
          <w:lang w:val="el" w:eastAsia="el"/>
        </w:rPr>
      </w:pPr>
      <w:r>
        <w:rPr>
          <w:b/>
          <w:bCs/>
          <w:lang w:val="el" w:eastAsia="el"/>
        </w:rPr>
        <w:t xml:space="preserve">FAX : </w:t>
      </w:r>
      <w:r>
        <w:rPr>
          <w:lang w:val="el" w:eastAsia="el"/>
        </w:rPr>
        <w:t>210 3615052</w:t>
      </w:r>
    </w:p>
    <w:p>
      <w:pPr>
        <w:spacing w:before="240" w:after="240"/>
        <w:rPr>
          <w:lang w:val="el" w:eastAsia="el"/>
        </w:rPr>
      </w:pPr>
      <w:r>
        <w:rPr>
          <w:b/>
          <w:bCs/>
          <w:lang w:val="el" w:eastAsia="el"/>
        </w:rPr>
        <w:t xml:space="preserve">ΘΕΜΑ: </w:t>
      </w:r>
      <w:r>
        <w:rPr>
          <w:lang w:val="el" w:eastAsia="el"/>
        </w:rPr>
        <w:t>Υποβολή των γνωστοποιήσεων που προβλέπονται από τις διατάξεις του π.δ. 186/1992 (Κ.Β.Σ.), καθώς και από Υπουργικές Αποφάσεις και του περιεχομένου των παραστατικών μεταβίβασης φορολογικών ηλεκτρονικών μηχανισμών και συστημάτων με τη χρήση ηλεκτρονικής μεθόδου επικοινωνίας μέσω διαδικτύου.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περίπτωσης ζ΄ του άρθρου 38 του π.δ.186/1992 (ΦΕΚ 84 Α΄/26.5.1992).</w:t>
      </w:r>
    </w:p>
    <w:p>
      <w:pPr>
        <w:spacing w:before="240" w:after="240"/>
        <w:rPr>
          <w:lang w:val="el" w:eastAsia="el"/>
        </w:rPr>
      </w:pPr>
      <w:r>
        <w:rPr>
          <w:lang w:val="el" w:eastAsia="el"/>
        </w:rPr>
        <w:t>2. Τις διατάξεις της παρ. 1 του άρθρου 4 του ν.1809/1988 (ΦΕΚ 222 Α΄/5.10.1988).</w:t>
      </w:r>
    </w:p>
    <w:p>
      <w:pPr>
        <w:spacing w:before="240" w:after="240"/>
        <w:rPr>
          <w:lang w:val="el" w:eastAsia="el"/>
        </w:rPr>
      </w:pPr>
      <w:r>
        <w:rPr>
          <w:lang w:val="el" w:eastAsia="el"/>
        </w:rPr>
        <w:t>3. Το π.δ.110/2011 (ΦΕΚ 243 Α΄/11.11.2011) περί Διορισμού Αντιπροέδρων της Κυβέρνησης, Υπουργών, Αναπληρωτών Υπουργών και Υφυπουργών.</w:t>
      </w:r>
    </w:p>
    <w:p>
      <w:pPr>
        <w:spacing w:before="240" w:after="240"/>
        <w:rPr>
          <w:lang w:val="el" w:eastAsia="el"/>
        </w:rPr>
      </w:pPr>
      <w:r>
        <w:rPr>
          <w:lang w:val="el" w:eastAsia="el"/>
        </w:rPr>
        <w:t>4. Την ανάγκη απλοποίησης των διαδικασιών υποβολής των προβλεπόμενων γνωστοποιήσεων και φορολογικών παραστατικών, χωρίς μετάβαση των φορολογούμενων στις Δ.Ο.Υ., με σκοπό τη βελτίωση της ποιότητας των παρεχόμενων υπηρεσιών, την αποσυμφόρηση των Δ.Ο.Υ., καθώς και τη μείωση του αντιπαραγωγικού χρόνου των επιχειρήσεων.</w:t>
      </w:r>
    </w:p>
    <w:p>
      <w:pPr>
        <w:spacing w:before="240" w:after="240"/>
        <w:rPr>
          <w:lang w:val="el" w:eastAsia="el"/>
        </w:rPr>
      </w:pPr>
      <w:r>
        <w:rPr>
          <w:lang w:val="el" w:eastAsia="el"/>
        </w:rPr>
        <w:t>5.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1Τρόπος υποβολής</w:t>
      </w:r>
    </w:p>
    <w:p>
      <w:pPr>
        <w:pStyle w:val="MainText"/>
        <w:spacing w:before="120" w:after="0"/>
        <w:rPr>
          <w:lang w:val="el" w:eastAsia="el"/>
        </w:rPr>
      </w:pPr>
      <w:r>
        <w:rPr>
          <w:b/>
          <w:bCs/>
          <w:lang w:val="el" w:eastAsia="el"/>
        </w:rPr>
        <w:t>1.</w:t>
      </w:r>
      <w:r>
        <w:rPr>
          <w:lang w:val="el" w:eastAsia="el"/>
        </w:rPr>
        <w:t xml:space="preserve"> Η υποβολή των κατωτέρω γνωστοποιήσεων, που προβλέπονται από τις διατάξεις του π.δ.186/1992 (Κ.Β.Σ.) όπως ισχύει, από Υπουργικές Αποφάσεις καθώς και από θέσεις της Διοίκησης, γίνεται με τη χρήση ηλεκτρονικής μεθόδου επικοινωνίας, μέσω του διαδικτύου, στον διαδικτυακό τόπο της Γενικής Γραμματείας Πληροφοριακών Συστημάτων (Γ.Γ.Π.Σ.) </w:t>
      </w:r>
      <w:hyperlink r:id="rId4" w:history="1">
        <w:r>
          <w:rPr>
            <w:rStyle w:val="Hyperlink"/>
            <w:color w:val="0000EE"/>
            <w:u w:color="0000EE"/>
            <w:lang w:val="el" w:eastAsia="el"/>
          </w:rPr>
          <w:t>www.gsis.gr</w:t>
        </w:r>
      </w:hyperlink>
      <w:r>
        <w:rPr>
          <w:lang w:val="el" w:eastAsia="el"/>
        </w:rPr>
        <w:t>. :</w:t>
      </w:r>
    </w:p>
    <w:p>
      <w:pPr>
        <w:pStyle w:val="MainText"/>
        <w:spacing w:before="120" w:after="0"/>
        <w:rPr>
          <w:lang w:val="el" w:eastAsia="el"/>
        </w:rPr>
      </w:pPr>
      <w:r>
        <w:rPr>
          <w:b/>
          <w:bCs/>
          <w:lang w:val="el" w:eastAsia="el"/>
        </w:rPr>
        <w:t>1.1</w:t>
      </w:r>
      <w:r>
        <w:rPr>
          <w:lang w:val="el" w:eastAsia="el"/>
        </w:rPr>
        <w:t xml:space="preserve"> Χρησιμοποίηση περισσοτέρων σειρών για κάθε είδος φορολογικού στοιχείου.</w:t>
      </w:r>
    </w:p>
    <w:p>
      <w:pPr>
        <w:pStyle w:val="MainText"/>
        <w:spacing w:before="120" w:after="0"/>
        <w:rPr>
          <w:lang w:val="el" w:eastAsia="el"/>
        </w:rPr>
      </w:pPr>
      <w:r>
        <w:rPr>
          <w:b/>
          <w:bCs/>
          <w:lang w:val="el" w:eastAsia="el"/>
        </w:rPr>
        <w:t>1.2</w:t>
      </w:r>
      <w:r>
        <w:rPr>
          <w:lang w:val="el" w:eastAsia="el"/>
        </w:rPr>
        <w:t xml:space="preserve"> Επέκταση της χρήσης του ενιαίου μηχανογραφικού εντύπου για έκδοση και άλλου φορολογικού στοιχείου ή άλλης σειράς στοιχείων ή τήρησης άλλου βιβλίου, από το ήδη θεωρημένο έντυπο.</w:t>
      </w:r>
    </w:p>
    <w:p>
      <w:pPr>
        <w:pStyle w:val="MainText"/>
        <w:spacing w:before="120" w:after="0"/>
        <w:rPr>
          <w:lang w:val="el" w:eastAsia="el"/>
        </w:rPr>
      </w:pPr>
      <w:r>
        <w:rPr>
          <w:b/>
          <w:bCs/>
          <w:lang w:val="el" w:eastAsia="el"/>
        </w:rPr>
        <w:t>1.3</w:t>
      </w:r>
      <w:r>
        <w:rPr>
          <w:lang w:val="el" w:eastAsia="el"/>
        </w:rPr>
        <w:t xml:space="preserve"> Ανάθεση έκδοσης εγγράφων μεταφοράς σε αντιπρόσωπο ή πράκτορα, από το μεταφορέα που πραγματοποιεί θαλάσσιες ή εναέριες μεταφορές.</w:t>
      </w:r>
    </w:p>
    <w:p>
      <w:pPr>
        <w:pStyle w:val="MainText"/>
        <w:spacing w:before="120" w:after="0"/>
        <w:rPr>
          <w:lang w:val="el" w:eastAsia="el"/>
        </w:rPr>
      </w:pPr>
      <w:r>
        <w:rPr>
          <w:b/>
          <w:bCs/>
          <w:lang w:val="el" w:eastAsia="el"/>
        </w:rPr>
        <w:t>1.4</w:t>
      </w:r>
      <w:r>
        <w:rPr>
          <w:lang w:val="el" w:eastAsia="el"/>
        </w:rPr>
        <w:t xml:space="preserve"> Αρχική εγκατάσταση – προσθήκη σημείων εγκατάστασης αυτόματων πωλητών ή τη μεταφορά τους.</w:t>
      </w:r>
    </w:p>
    <w:p>
      <w:pPr>
        <w:pStyle w:val="MainText"/>
        <w:spacing w:before="120" w:after="0"/>
        <w:rPr>
          <w:lang w:val="el" w:eastAsia="el"/>
        </w:rPr>
      </w:pPr>
      <w:r>
        <w:rPr>
          <w:b/>
          <w:bCs/>
          <w:lang w:val="el" w:eastAsia="el"/>
        </w:rPr>
        <w:t>1.5</w:t>
      </w:r>
      <w:r>
        <w:rPr>
          <w:lang w:val="el" w:eastAsia="el"/>
        </w:rPr>
        <w:t xml:space="preserve"> Χρησιμοποίηση τουριστικών λεωφορείων από ξενοδοχειακές επιχειρήσεις, που ανήκουν σε αυτές ή τα εκμεταλλεύονται για τη μεταφορά των υπαλλήλων τους, προκειμένου να μην εκδίδουν δελτία κίνησης.</w:t>
      </w:r>
    </w:p>
    <w:p>
      <w:pPr>
        <w:pStyle w:val="MainText"/>
        <w:spacing w:before="120" w:after="0"/>
        <w:rPr>
          <w:lang w:val="el" w:eastAsia="el"/>
        </w:rPr>
      </w:pPr>
      <w:r>
        <w:rPr>
          <w:b/>
          <w:bCs/>
          <w:lang w:val="el" w:eastAsia="el"/>
        </w:rPr>
        <w:t>1.6</w:t>
      </w:r>
      <w:r>
        <w:rPr>
          <w:lang w:val="el" w:eastAsia="el"/>
        </w:rPr>
        <w:t xml:space="preserve"> Μη τήρηση ενιαίας αρίθμησης ή επανάληψης αυτής κατά την έκδοση φορολογικών στοιχείων από παραδρομή. (αφορά δήλωση πριν το φορολογικό έλεγχο)</w:t>
      </w:r>
    </w:p>
    <w:p>
      <w:pPr>
        <w:pStyle w:val="MainText"/>
        <w:spacing w:before="120" w:after="0"/>
        <w:rPr>
          <w:lang w:val="el" w:eastAsia="el"/>
        </w:rPr>
      </w:pPr>
      <w:r>
        <w:rPr>
          <w:b/>
          <w:bCs/>
          <w:lang w:val="el" w:eastAsia="el"/>
        </w:rPr>
        <w:t>1.7</w:t>
      </w:r>
      <w:r>
        <w:rPr>
          <w:lang w:val="el" w:eastAsia="el"/>
        </w:rPr>
        <w:t xml:space="preserve"> Έκδοση αθεώρητων φορολογικών στοιχείων από παραδρομή. (αφορά δήλωση πριν το φορολογικό έλεγχο)</w:t>
      </w:r>
    </w:p>
    <w:p>
      <w:pPr>
        <w:pStyle w:val="MainText"/>
        <w:spacing w:before="120" w:after="0"/>
        <w:rPr>
          <w:lang w:val="el" w:eastAsia="el"/>
        </w:rPr>
      </w:pPr>
      <w:r>
        <w:rPr>
          <w:b/>
          <w:bCs/>
          <w:lang w:val="el" w:eastAsia="el"/>
        </w:rPr>
        <w:t>1.8</w:t>
      </w:r>
      <w:r>
        <w:rPr>
          <w:lang w:val="el" w:eastAsia="el"/>
        </w:rPr>
        <w:t xml:space="preserve"> Έκδοση αθεωρήτων φορολογικών στοιχείων από μηχανογραφικό στέλεχος, λόγω βλάβης της Ε.Α.Φ.Δ.Σ.Σ. με την οποία σημαίνονται.</w:t>
      </w:r>
    </w:p>
    <w:p>
      <w:pPr>
        <w:pStyle w:val="MainText"/>
        <w:spacing w:before="120" w:after="0"/>
        <w:rPr>
          <w:lang w:val="el" w:eastAsia="el"/>
        </w:rPr>
      </w:pPr>
      <w:r>
        <w:rPr>
          <w:b/>
          <w:bCs/>
          <w:lang w:val="el" w:eastAsia="el"/>
        </w:rPr>
        <w:t>1.9</w:t>
      </w:r>
      <w:r>
        <w:rPr>
          <w:lang w:val="el" w:eastAsia="el"/>
        </w:rPr>
        <w:t xml:space="preserve"> Επανάληψη της ενιαίας αρίθμησης των βιβλίων που τηρούνται σε κινητά φύλλα και των φορολογικών στοιχείων που εκδίδονται.</w:t>
      </w:r>
    </w:p>
    <w:p>
      <w:pPr>
        <w:pStyle w:val="MainText"/>
        <w:spacing w:before="120" w:after="0"/>
        <w:rPr>
          <w:lang w:val="el" w:eastAsia="el"/>
        </w:rPr>
      </w:pPr>
      <w:r>
        <w:rPr>
          <w:b/>
          <w:bCs/>
          <w:lang w:val="el" w:eastAsia="el"/>
        </w:rPr>
        <w:t>1.10</w:t>
      </w:r>
      <w:r>
        <w:rPr>
          <w:lang w:val="el" w:eastAsia="el"/>
        </w:rPr>
        <w:t xml:space="preserve"> Ενημέρωση των μηχανογραφικά τηρούμενων βιβλίων εκτός έδρας.</w:t>
      </w:r>
    </w:p>
    <w:p>
      <w:pPr>
        <w:pStyle w:val="MainText"/>
        <w:spacing w:before="120" w:after="0"/>
        <w:rPr>
          <w:lang w:val="el" w:eastAsia="el"/>
        </w:rPr>
      </w:pPr>
      <w:r>
        <w:rPr>
          <w:b/>
          <w:bCs/>
          <w:lang w:val="el" w:eastAsia="el"/>
        </w:rPr>
        <w:t>1.11</w:t>
      </w:r>
      <w:r>
        <w:rPr>
          <w:lang w:val="el" w:eastAsia="el"/>
        </w:rPr>
        <w:t xml:space="preserve"> Τήρηση των βιβλίων και στοιχείων των ανωνύμων εταιρειών των νομών Αττικής και Θεσσαλονίκης σε εγκατάστασή τους εντός του ίδιου νομού.</w:t>
      </w:r>
    </w:p>
    <w:p>
      <w:pPr>
        <w:pStyle w:val="MainText"/>
        <w:spacing w:before="120" w:after="0"/>
        <w:rPr>
          <w:lang w:val="el" w:eastAsia="el"/>
        </w:rPr>
      </w:pPr>
      <w:r>
        <w:rPr>
          <w:b/>
          <w:bCs/>
          <w:lang w:val="el" w:eastAsia="el"/>
        </w:rPr>
        <w:t>1.12</w:t>
      </w:r>
      <w:r>
        <w:rPr>
          <w:lang w:val="el" w:eastAsia="el"/>
        </w:rPr>
        <w:t xml:space="preserve"> Αλλαγή για πρώτη φορά της μεθόδου προσδιορισμού της τιμής κτήσης των αποθεμάτων ή του ιστορικού κόστους παραγωγής.</w:t>
      </w:r>
    </w:p>
    <w:p>
      <w:pPr>
        <w:pStyle w:val="MainText"/>
        <w:spacing w:before="120" w:after="0"/>
        <w:rPr>
          <w:lang w:val="el" w:eastAsia="el"/>
        </w:rPr>
      </w:pPr>
      <w:r>
        <w:rPr>
          <w:b/>
          <w:bCs/>
          <w:lang w:val="el" w:eastAsia="el"/>
        </w:rPr>
        <w:t>1.13</w:t>
      </w:r>
      <w:r>
        <w:rPr>
          <w:lang w:val="el" w:eastAsia="el"/>
        </w:rPr>
        <w:t xml:space="preserve"> Μη τήρηση ιδιαίτερου πρόσθετου βιβλίου της παραγράφου 5 του άρθρου 10 στο υποκατάστημα που στεγάζεται στον ίδιο ή σε συνεχόμενο κτιριακό χώρο με την έδρα.</w:t>
      </w:r>
    </w:p>
    <w:p>
      <w:pPr>
        <w:pStyle w:val="MainText"/>
        <w:spacing w:before="120" w:after="0"/>
        <w:rPr>
          <w:lang w:val="el" w:eastAsia="el"/>
        </w:rPr>
      </w:pPr>
      <w:r>
        <w:rPr>
          <w:b/>
          <w:bCs/>
          <w:lang w:val="el" w:eastAsia="el"/>
        </w:rPr>
        <w:t>1.14</w:t>
      </w:r>
      <w:r>
        <w:rPr>
          <w:lang w:val="el" w:eastAsia="el"/>
        </w:rPr>
        <w:t xml:space="preserve"> Ενσωμάτωση δεδομένων βιβλίων υποκαταστήματος χωρίς αυτοτελές λογιστικό αποτέλεσμα σε άλλο με αυτοτελές λογιστικό αποτέλεσμα.</w:t>
      </w:r>
    </w:p>
    <w:p>
      <w:pPr>
        <w:pStyle w:val="MainText"/>
        <w:spacing w:before="120" w:after="0"/>
        <w:rPr>
          <w:lang w:val="el" w:eastAsia="el"/>
        </w:rPr>
      </w:pPr>
      <w:r>
        <w:rPr>
          <w:b/>
          <w:bCs/>
          <w:lang w:val="el" w:eastAsia="el"/>
        </w:rPr>
        <w:t>1.15</w:t>
      </w:r>
      <w:r>
        <w:rPr>
          <w:lang w:val="el" w:eastAsia="el"/>
        </w:rPr>
        <w:t xml:space="preserve"> Ενσωμάτωση δεδομένων βιβλίων υποκαταστήματος χωρίς αυτοτελές λογιστικό αποτέλεσμα σε άλλο χωρίς αυτοτελές λογιστικό αποτέλεσμα.</w:t>
      </w:r>
    </w:p>
    <w:p>
      <w:pPr>
        <w:pStyle w:val="MainText"/>
        <w:spacing w:before="120" w:after="0"/>
        <w:rPr>
          <w:lang w:val="el" w:eastAsia="el"/>
        </w:rPr>
      </w:pPr>
      <w:r>
        <w:rPr>
          <w:b/>
          <w:bCs/>
          <w:lang w:val="el" w:eastAsia="el"/>
        </w:rPr>
        <w:t>1.16</w:t>
      </w:r>
      <w:r>
        <w:rPr>
          <w:lang w:val="el" w:eastAsia="el"/>
        </w:rPr>
        <w:t xml:space="preserve"> Τήρηση ιδιαίτερης σειράς πρόσθετων βιβλίων επί διαρκούς παροχής υπηρεσίας.</w:t>
      </w:r>
    </w:p>
    <w:p>
      <w:pPr>
        <w:pStyle w:val="MainText"/>
        <w:spacing w:before="120" w:after="0"/>
        <w:rPr>
          <w:lang w:val="el" w:eastAsia="el"/>
        </w:rPr>
      </w:pPr>
      <w:r>
        <w:rPr>
          <w:b/>
          <w:bCs/>
          <w:lang w:val="el" w:eastAsia="el"/>
        </w:rPr>
        <w:t>1.17</w:t>
      </w:r>
      <w:r>
        <w:rPr>
          <w:lang w:val="el" w:eastAsia="el"/>
        </w:rPr>
        <w:t xml:space="preserve"> Τήρηση των βιβλίων και στοιχείων εκτός έδρας σε άλλο τόπο χωρικής αρμοδιότητας ίδιας Δ.Ο.Υ.</w:t>
      </w:r>
    </w:p>
    <w:p>
      <w:pPr>
        <w:pStyle w:val="MainText"/>
        <w:spacing w:before="120" w:after="0"/>
        <w:rPr>
          <w:lang w:val="el" w:eastAsia="el"/>
        </w:rPr>
      </w:pPr>
      <w:r>
        <w:rPr>
          <w:b/>
          <w:bCs/>
          <w:lang w:val="el" w:eastAsia="el"/>
        </w:rPr>
        <w:t>1.18</w:t>
      </w:r>
      <w:r>
        <w:rPr>
          <w:lang w:val="el" w:eastAsia="el"/>
        </w:rPr>
        <w:t xml:space="preserve"> Τήρηση των βιβλίων και στοιχείων εκτός έδρας αλλά σε τόπο χωρικής αρμοδιότητας άλλης Δ.Ο.Υ. στην ίδια πόλη (πλην Ν. Αττικής και Θεσσαλονίκης).</w:t>
      </w:r>
    </w:p>
    <w:p>
      <w:pPr>
        <w:pStyle w:val="MainText"/>
        <w:spacing w:before="120" w:after="0"/>
        <w:rPr>
          <w:lang w:val="el" w:eastAsia="el"/>
        </w:rPr>
      </w:pPr>
      <w:r>
        <w:rPr>
          <w:b/>
          <w:bCs/>
          <w:lang w:val="el" w:eastAsia="el"/>
        </w:rPr>
        <w:t>1.19</w:t>
      </w:r>
      <w:r>
        <w:rPr>
          <w:lang w:val="el" w:eastAsia="el"/>
        </w:rPr>
        <w:t xml:space="preserve"> Παράταση του χρόνου ενημέρωσης των βιβλίων.</w:t>
      </w:r>
    </w:p>
    <w:p>
      <w:pPr>
        <w:pStyle w:val="MainText"/>
        <w:spacing w:before="120" w:after="0"/>
        <w:rPr>
          <w:lang w:val="el" w:eastAsia="el"/>
        </w:rPr>
      </w:pPr>
      <w:r>
        <w:rPr>
          <w:b/>
          <w:bCs/>
          <w:lang w:val="el" w:eastAsia="el"/>
        </w:rPr>
        <w:t>1.20</w:t>
      </w:r>
      <w:r>
        <w:rPr>
          <w:lang w:val="el" w:eastAsia="el"/>
        </w:rPr>
        <w:t xml:space="preserve"> Βλάβη του Η/Υ για παράταση ενημέρωσης των βιβλίων.</w:t>
      </w:r>
    </w:p>
    <w:p>
      <w:pPr>
        <w:pStyle w:val="MainText"/>
        <w:spacing w:before="120" w:after="0"/>
        <w:rPr>
          <w:lang w:val="el" w:eastAsia="el"/>
        </w:rPr>
      </w:pPr>
      <w:r>
        <w:rPr>
          <w:b/>
          <w:bCs/>
          <w:lang w:val="el" w:eastAsia="el"/>
        </w:rPr>
        <w:t>2.</w:t>
      </w:r>
      <w:r>
        <w:rPr>
          <w:lang w:val="el" w:eastAsia="el"/>
        </w:rPr>
        <w:t xml:space="preserve"> Η υποβολή του δελτίου αποστολής ή του δελτίου αποστολής – τιμολογίου, που εκδίδεται από τον πωλητή φορολογικών ηλεκτρονικών μηχανισμών και συστημάτων, με την ένδειξη «για τη ΔΟΥ του αγοραστή», αντί της αποστολής αυτού σε φυσική μορφή, γίνεται με ηλεκτρονική υποβολή του περιεχομένου του εντός προθεσμίας δεκαπέντε ημερών από την ημερομηνία έκδοσης, με τη χρήση ηλεκτρονικής μεθόδου επικοινωνίας μέσω του διαδικτύου, στον διαδικτυακό τόπο της Γενικής Γραμματείας Πληροφοριακών Συστημάτων (Γ.Γ.Π.Σ.) </w:t>
      </w:r>
      <w:hyperlink r:id="rId5" w:history="1">
        <w:r>
          <w:rPr>
            <w:rStyle w:val="Hyperlink"/>
            <w:color w:val="0000EE"/>
            <w:u w:color="0000EE"/>
            <w:lang w:val="el" w:eastAsia="el"/>
          </w:rPr>
          <w:t>www.gsis.gr</w:t>
        </w:r>
      </w:hyperlink>
      <w:r>
        <w:rPr>
          <w:lang w:val="el" w:eastAsia="el"/>
        </w:rPr>
        <w:t>.</w:t>
      </w:r>
    </w:p>
    <w:p>
      <w:pPr>
        <w:pStyle w:val="MainText"/>
        <w:spacing w:before="120" w:after="0"/>
        <w:rPr>
          <w:lang w:val="el" w:eastAsia="el"/>
        </w:rPr>
      </w:pPr>
      <w:r>
        <w:rPr>
          <w:b/>
          <w:bCs/>
          <w:lang w:val="el" w:eastAsia="el"/>
        </w:rPr>
        <w:t>3.</w:t>
      </w:r>
      <w:r>
        <w:rPr>
          <w:lang w:val="el" w:eastAsia="el"/>
        </w:rPr>
        <w:t xml:space="preserve"> Οι εκπρόθεσμες υποβολές του περιεχομένου του παραστατικού της προηγούμενης παραγράφου γίνονται υποχρεωτικά στην αρμόδια Δ.Ο.Υ.</w:t>
      </w:r>
    </w:p>
    <w:p>
      <w:pPr>
        <w:spacing w:before="240" w:after="240"/>
        <w:rPr>
          <w:lang w:val="el" w:eastAsia="el"/>
        </w:rPr>
      </w:pPr>
      <w:r>
        <w:rPr>
          <w:lang w:val="el" w:eastAsia="el"/>
        </w:rPr>
        <w:t>Οι υπόχρεοι, εφόσον είναι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 Σε περίπτωση απενεργοποίησης από την ΓΓΠΣ των κωδικών πρόσβασης στο σύστημα, εφαρμόζονται τα αναφερόμενα στο άρθρο 6 της ανωτέρω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από την Γ.Γ.Π.Σ., αμέσως μετά την υποβολή των γνωστοποιήσεων ή του περιεχομένου των παραστατικών μεταβίβασης φορολογικών ηλεκτρονικών μηχανισμών και συστημάτων, ανά υπόχρεο, με ταυτόχρονη καταχώρηση των στοιχείων παραλαβής στο σύστημα TAXIS .</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των στοιχείων των γνωστοποιήσεων και του περιεχομένου των παραστατικών μεταβίβασης φορολογικών ηλεκτρονικών μηχανισμών και συστημάτων που υποβλήθηκαν ηλεκτρονικά.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προαιρετικά από τις 22/12/2011 και υποχρεωτικά από τις 1/6/2012.</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Εθνικό Τυπογραφείο (για δημοσίευση)</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Οικονομικές Επιθεωρήσεις</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Ελεγκτικά κέντρα (Δ.Ε.Κ. και Π.Ε.Κ.)</w:t>
      </w:r>
    </w:p>
    <w:p>
      <w:pPr>
        <w:spacing w:before="240" w:after="240"/>
        <w:rPr>
          <w:lang w:val="el" w:eastAsia="el"/>
        </w:rPr>
      </w:pPr>
      <w:r>
        <w:rPr>
          <w:lang w:val="el" w:eastAsia="el"/>
        </w:rPr>
        <w:t>4. Αποδέκτες πινάκων Α΄, Β΄ (εκτός από την περ. 1), ΣΤ΄ (μόνο οι περ. 6 &amp; 7), Ζ΄, Η΄, Θ΄ (εκτός από την περ. 8), Ι΄, ΙΒ΄, ΙΔ΄, ΙΕ΄, ΙΣΤ΄, ΙΖ΄, ΙΗ΄, ΙΘ΄,Κ΄, ΚΑ΄, ΚΒ΄, ΚΓ΄.</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 Οικονομικών κ. Π. Οικονόμου</w:t>
      </w:r>
    </w:p>
    <w:p>
      <w:pPr>
        <w:spacing w:before="240" w:after="240"/>
        <w:rPr>
          <w:lang w:val="el" w:eastAsia="el"/>
        </w:rPr>
      </w:pPr>
      <w:r>
        <w:rPr>
          <w:lang w:val="el" w:eastAsia="el"/>
        </w:rPr>
        <w:t>3. Γραφείο κ. Γενικού Γραμματέα Φορολογικών και Τελωνειακών Θεμάτων</w:t>
      </w:r>
    </w:p>
    <w:p>
      <w:pPr>
        <w:spacing w:before="240" w:after="240"/>
        <w:rPr>
          <w:lang w:val="el" w:eastAsia="el"/>
        </w:rPr>
      </w:pPr>
      <w:r>
        <w:rPr>
          <w:lang w:val="el" w:eastAsia="el"/>
        </w:rPr>
        <w:t>4. Γραφείο κ. Γενικού Γραμματέα Πληροφοριακών Συστημάτων</w:t>
      </w:r>
    </w:p>
    <w:p>
      <w:pPr>
        <w:spacing w:before="240" w:after="240"/>
        <w:rPr>
          <w:lang w:val="el" w:eastAsia="el"/>
        </w:rPr>
      </w:pPr>
      <w:r>
        <w:rPr>
          <w:lang w:val="el" w:eastAsia="el"/>
        </w:rPr>
        <w:t>5. Γραφείο κ. Γενικού Δ/ντή Φορολογίας (2 αντίγραφα)</w:t>
      </w:r>
    </w:p>
    <w:p>
      <w:pPr>
        <w:spacing w:before="240" w:after="240"/>
        <w:rPr>
          <w:lang w:val="el" w:eastAsia="el"/>
        </w:rPr>
      </w:pPr>
      <w:r>
        <w:rPr>
          <w:lang w:val="el" w:eastAsia="el"/>
        </w:rPr>
        <w:t>6. Γραφεία κ.κ. Γεν. Δ/ντών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Δ/νση 15η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κ. Δ/ντή (2 αντίγραφα)</w:t>
      </w:r>
    </w:p>
    <w:p>
      <w:pPr>
        <w:pStyle w:val="StructureList1"/>
        <w:spacing w:before="120" w:after="0"/>
        <w:rPr>
          <w:lang w:val="el" w:eastAsia="el"/>
        </w:rPr>
      </w:pPr>
      <w:r>
        <w:rPr>
          <w:lang w:val="el" w:eastAsia="el"/>
        </w:rPr>
        <w:t>β)</w:t>
      </w:r>
      <w:r>
        <w:rPr>
          <w:lang w:val="en" w:eastAsia="en"/>
        </w:rPr>
        <w:tab/>
      </w:r>
      <w:r>
        <w:rPr>
          <w:lang w:val="el" w:eastAsia="el"/>
        </w:rPr>
        <w:t>Τμήμα Α’ (5 αντίγραφα)</w:t>
      </w:r>
    </w:p>
    <w:p>
      <w:pPr>
        <w:pStyle w:val="StructureList1"/>
        <w:spacing w:before="120" w:after="0"/>
        <w:rPr>
          <w:lang w:val="el" w:eastAsia="el"/>
        </w:rPr>
      </w:pPr>
      <w:r>
        <w:rPr>
          <w:lang w:val="el" w:eastAsia="el"/>
        </w:rPr>
        <w:t>γ)</w:t>
      </w:r>
      <w:r>
        <w:rPr>
          <w:lang w:val="en" w:eastAsia="en"/>
        </w:rPr>
        <w:tab/>
      </w:r>
      <w:r>
        <w:rPr>
          <w:lang w:val="el" w:eastAsia="el"/>
        </w:rPr>
        <w:t>Τμήμα Β’ (5 αντίγραφα)</w:t>
      </w:r>
    </w:p>
    <w:p>
      <w:pPr>
        <w:spacing w:before="240" w:after="240"/>
        <w:rPr>
          <w:lang w:val="el" w:eastAsia="el"/>
        </w:rPr>
      </w:pPr>
      <w:r>
        <w:rPr>
          <w:lang w:val="el" w:eastAsia="el"/>
        </w:rPr>
        <w:t>10. Δ/νση Εφαρμογών Η/Υ – Δ30 – Υποσύστημα Κ.Β.Σ.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