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 ΒΟΖΓΗ-Λ37</w:t>
      </w:r>
    </w:p>
    <w:p>
      <w:pPr>
        <w:pStyle w:val="PreambelText"/>
        <w:spacing w:before="240" w:after="240"/>
        <w:rPr>
          <w:lang w:val="el" w:eastAsia="el"/>
        </w:rPr>
      </w:pPr>
      <w:r>
        <w:rPr>
          <w:lang w:val="el" w:eastAsia="el"/>
        </w:rPr>
        <w:t>Αθήνα, 9 Ιανουαρίου 2012</w:t>
      </w:r>
    </w:p>
    <w:p>
      <w:pPr>
        <w:pStyle w:val="PreambelText"/>
        <w:spacing w:before="240" w:after="240"/>
        <w:rPr>
          <w:lang w:val="el" w:eastAsia="el"/>
        </w:rPr>
      </w:pPr>
      <w:r>
        <w:rPr>
          <w:b/>
          <w:bCs/>
          <w:lang w:val="el" w:eastAsia="el"/>
        </w:rPr>
        <w:t>ΠΟΛ. 1012</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Α) ΓΕΝΙΚΗ ΓΡΑΜΜΑΤΕΙΑ ΦΟΡΟΛΟΓΙΚΩΝ</w:t>
      </w:r>
    </w:p>
    <w:p>
      <w:pPr>
        <w:pStyle w:val="PreambelText"/>
        <w:spacing w:before="240" w:after="240"/>
        <w:rPr>
          <w:lang w:val="el" w:eastAsia="el"/>
        </w:rPr>
      </w:pPr>
      <w:r>
        <w:rPr>
          <w:b/>
          <w:bCs/>
          <w:lang w:val="el" w:eastAsia="el"/>
        </w:rPr>
        <w:t>&amp; ΤΕΛΩΝΕΙΑΚΩΝ ΘΕΜΑΤΩΝ</w:t>
      </w:r>
    </w:p>
    <w:p>
      <w:pPr>
        <w:pStyle w:val="PreambelText"/>
        <w:spacing w:before="240" w:after="240"/>
        <w:rPr>
          <w:lang w:val="el" w:eastAsia="el"/>
        </w:rPr>
      </w:pPr>
      <w:r>
        <w:rPr>
          <w:lang w:val="el" w:eastAsia="el"/>
        </w:rPr>
        <w:t>1) ΓΕΝΙΚΗ Δ/ΝΣΗ ΦΟΡΟΛΟΓΙΑΣ</w:t>
      </w:r>
    </w:p>
    <w:p>
      <w:pPr>
        <w:pStyle w:val="PreambelText"/>
        <w:spacing w:before="240" w:after="240"/>
        <w:rPr>
          <w:lang w:val="el" w:eastAsia="el"/>
        </w:rPr>
      </w:pPr>
      <w:r>
        <w:rPr>
          <w:lang w:val="el" w:eastAsia="el"/>
        </w:rPr>
        <w:t>Δ/ΝΣΗ ΤΕΛΩΝ &amp; ΕΙΔΙΚΩΝ ΦΟΡΟΛΟΓΙΩΝ ΤΜΗΜΑ Β’</w:t>
      </w:r>
    </w:p>
    <w:p>
      <w:pPr>
        <w:pStyle w:val="PreambelText"/>
        <w:spacing w:before="240" w:after="240"/>
        <w:rPr>
          <w:lang w:val="el" w:eastAsia="el"/>
        </w:rPr>
      </w:pPr>
      <w:r>
        <w:rPr>
          <w:lang w:val="el" w:eastAsia="el"/>
        </w:rPr>
        <w:t>2) ΓΕΝΙΚΗ ΔΙΕΥΘΥΝΣΗ ΦΟΡΟΛΟΓΙΚΩΝ ΕΛΕΓΧΩΝ ΚΑΙ ΕΙΣΠΡΑΞΗΣ ΔΗΜΟΣΙΩΝ ΕΣΟΔΩΝ</w:t>
      </w:r>
    </w:p>
    <w:p>
      <w:pPr>
        <w:pStyle w:val="PreambelText"/>
        <w:spacing w:before="240" w:after="240"/>
        <w:rPr>
          <w:lang w:val="el" w:eastAsia="el"/>
        </w:rPr>
      </w:pPr>
      <w:r>
        <w:rPr>
          <w:lang w:val="el" w:eastAsia="el"/>
        </w:rPr>
        <w:t>Δ/ΝΣΗ ΠΟΛΙΤΙΚΗΣ ΕΙΣΠΡΑΞΗΣ ΔΗΜΟΣΙΩΝ ΕΣΟΔΩΝ</w:t>
      </w:r>
    </w:p>
    <w:p>
      <w:pPr>
        <w:pStyle w:val="PreambelText"/>
        <w:spacing w:before="240" w:after="240"/>
        <w:rPr>
          <w:lang w:val="el" w:eastAsia="el"/>
        </w:rPr>
      </w:pPr>
      <w:r>
        <w:rPr>
          <w:b/>
          <w:bCs/>
          <w:lang w:val="el" w:eastAsia="el"/>
        </w:rPr>
        <w:t>Β) ΓΕΝΙΚΗ ΓΡΑΜΜΑΤΕΙΑ ΠΛΗΡΟΦΟΡΙΑΚΩΝ ΣΥΣΤΗΜΑΤΩΝ (Γ.Γ.Π.Σ.)</w:t>
      </w:r>
    </w:p>
    <w:p>
      <w:pPr>
        <w:pStyle w:val="PreambelText"/>
        <w:spacing w:before="240" w:after="240"/>
        <w:rPr>
          <w:lang w:val="el" w:eastAsia="el"/>
        </w:rPr>
      </w:pPr>
      <w:r>
        <w:rPr>
          <w:lang w:val="el" w:eastAsia="el"/>
        </w:rPr>
        <w:t>ΓΕΝΙΚΗ Δ/ΝΣΗ ΚΕΠΥΟ</w:t>
      </w:r>
    </w:p>
    <w:p>
      <w:pPr>
        <w:pStyle w:val="PreambelText"/>
        <w:spacing w:before="240" w:after="240"/>
        <w:rPr>
          <w:lang w:val="el" w:eastAsia="el"/>
        </w:rPr>
      </w:pPr>
      <w:r>
        <w:rPr>
          <w:lang w:val="el" w:eastAsia="el"/>
        </w:rPr>
        <w:t>Δ/ΝΣΗ ΕΦΑΡΜΟΓΩΝ Η/Υ (Δ30)</w:t>
      </w:r>
    </w:p>
    <w:p>
      <w:pPr>
        <w:pStyle w:val="Heading1"/>
        <w:spacing w:before="240" w:after="240"/>
        <w:rPr>
          <w:lang w:val="el" w:eastAsia="el"/>
        </w:rPr>
      </w:pPr>
      <w:r>
        <w:rPr>
          <w:lang w:val="el" w:eastAsia="el"/>
        </w:rPr>
        <w:t xml:space="preserve">ΤΜΗΜΑ Β΄ </w:t>
      </w:r>
    </w:p>
    <w:p>
      <w:pPr>
        <w:pStyle w:val="Heading1"/>
        <w:spacing w:before="240" w:after="240"/>
        <w:rPr>
          <w:lang w:val="el" w:eastAsia="el"/>
        </w:rPr>
      </w:pPr>
      <w:r>
        <w:rPr>
          <w:b/>
          <w:bCs/>
          <w:lang w:val="el" w:eastAsia="el"/>
        </w:rPr>
        <w:t>Ταχ.Δ/νση : Σίνα 2-4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Πληροφορίες: Τηλέφωνα : 210 - 3642570, 3644781</w:t>
      </w:r>
    </w:p>
    <w:p>
      <w:pPr>
        <w:spacing w:before="240" w:after="240"/>
        <w:rPr>
          <w:lang w:val="el" w:eastAsia="el"/>
        </w:rPr>
      </w:pPr>
      <w:r>
        <w:rPr>
          <w:b/>
          <w:bCs/>
          <w:lang w:val="el" w:eastAsia="el"/>
        </w:rPr>
        <w:t>FAX : 210 3642251</w:t>
      </w:r>
    </w:p>
    <w:p>
      <w:pPr>
        <w:spacing w:before="240" w:after="240"/>
        <w:rPr>
          <w:lang w:val="el" w:eastAsia="el"/>
        </w:rPr>
      </w:pPr>
      <w:r>
        <w:rPr>
          <w:b/>
          <w:bCs/>
          <w:lang w:val="el" w:eastAsia="el"/>
        </w:rPr>
        <w:t>ΘΕΜΑ : Συμπλήρωση της αριθ.1093729/703/Τ.&amp;Ε.Φ./24-10-2006 (ΠΟΛ. 1125) απόφασης του Υπουργού Οικονομίας &amp; Οικονομικών και υποβολή της Δήλωσης Απόδοσης Φόρου Ασφαλίστρων και στη συνέχεια απόδοση του φόρου αυτού, κατά περίπτωση, με τη χρήση ηλεκτρονικής μεθόδου επικοινωνίας ή στην αρμόδια Δ.Ο.Υ. για τις χρήσεις 2010, 2011 και εφεξής.</w:t>
      </w:r>
    </w:p>
    <w:p>
      <w:pPr>
        <w:spacing w:before="240" w:after="240"/>
        <w:rPr>
          <w:lang w:val="el" w:eastAsia="el"/>
        </w:rPr>
      </w:pPr>
      <w:r>
        <w:rPr>
          <w:b/>
          <w:bCs/>
          <w:lang w:val="el" w:eastAsia="el"/>
        </w:rPr>
        <w:t>Α Π Ο Φ Α Σ Η</w:t>
      </w:r>
    </w:p>
    <w:p>
      <w:pPr>
        <w:spacing w:before="240" w:after="240"/>
        <w:rPr>
          <w:lang w:val="el" w:eastAsia="el"/>
        </w:rPr>
      </w:pPr>
      <w:r>
        <w:rPr>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 8 του άρθρου 29 του ν.3492/2006 (210 Α’) σχετικά με την απόδοση του φόρου ασφαλίστρων.</w:t>
      </w:r>
    </w:p>
    <w:p>
      <w:pPr>
        <w:spacing w:before="240" w:after="240"/>
        <w:rPr>
          <w:lang w:val="el" w:eastAsia="el"/>
        </w:rPr>
      </w:pPr>
      <w:r>
        <w:rPr>
          <w:lang w:val="el" w:eastAsia="el"/>
        </w:rPr>
        <w:t>2. Την αριθ. Πολ 1125/24.12.2006.</w:t>
      </w:r>
    </w:p>
    <w:p>
      <w:pPr>
        <w:spacing w:before="240" w:after="240"/>
        <w:rPr>
          <w:lang w:val="el" w:eastAsia="el"/>
        </w:rPr>
      </w:pPr>
      <w:r>
        <w:rPr>
          <w:lang w:val="el" w:eastAsia="el"/>
        </w:rPr>
        <w:t>3. Τις διατάξεις του π.δ. 284/1988 (128 Α’) «Οργανισμός του Υπουργείου Οικονομικών», όπως ισχύει.</w:t>
      </w:r>
    </w:p>
    <w:p>
      <w:pPr>
        <w:spacing w:before="240" w:after="240"/>
        <w:rPr>
          <w:lang w:val="el" w:eastAsia="el"/>
        </w:rPr>
      </w:pPr>
      <w:r>
        <w:rPr>
          <w:lang w:val="el" w:eastAsia="el"/>
        </w:rPr>
        <w:t>4. Τις διατάξεις των άρθρων 41 και 90 του π.δ. 63/2005 (98 Α΄) «Κωδικοποίηση των διατάξεων για την Κυβέρνηση και Κυβερνητικά Όργανα».</w:t>
      </w:r>
    </w:p>
    <w:p>
      <w:pPr>
        <w:spacing w:before="240" w:after="240"/>
        <w:rPr>
          <w:lang w:val="el" w:eastAsia="el"/>
        </w:rPr>
      </w:pPr>
      <w:r>
        <w:rPr>
          <w:lang w:val="el" w:eastAsia="el"/>
        </w:rPr>
        <w:t>5. Την με αριθμό Y 25/6-12-2011 (2792 Β΄/8-12-2011) Aπόφαση του Πρωθυπουργού με την οποία καθορίζονται οι αρμοδιότητες των Αναπληρωτών Υπουργών Οικονομικών.</w:t>
      </w:r>
    </w:p>
    <w:p>
      <w:pPr>
        <w:spacing w:before="240" w:after="240"/>
        <w:rPr>
          <w:lang w:val="el" w:eastAsia="el"/>
        </w:rPr>
      </w:pPr>
      <w:r>
        <w:rPr>
          <w:lang w:val="el" w:eastAsia="el"/>
        </w:rPr>
        <w:t>6. Την ανάγκη καθορισμού τρόπου αποσυμφόρησης των Δ.Ο.Υ. αλλά και διευκόλυνσης της εκπλήρωσης της υποχρέωσης που ορίζεται από τις διατάξεις του άρθρου 29 του ν.3492/2006 περί υποβολής δήλωσης απόδοσης του φόρου ασφαλίστρων στο πλαίσιο απλοποίησης των φορολογικών διαδικασιών λόγω των διαμορφωθεισών νέων συνθηκών, τόσο στον τομέα οργάνωσης των φορολογικών υπηρεσιών, όσο και των επιχειρήσεων.</w:t>
      </w:r>
    </w:p>
    <w:p>
      <w:pPr>
        <w:spacing w:before="240" w:after="240"/>
        <w:rPr>
          <w:lang w:val="el" w:eastAsia="el"/>
        </w:rPr>
      </w:pPr>
      <w:r>
        <w:rPr>
          <w:lang w:val="el" w:eastAsia="el"/>
        </w:rPr>
        <w:t>7.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 ΟΦΑΣ ΙΖΟΥΜ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Τρόπος Υποβολής της Δήλωσης Απόδοσης Φόρου Ασφαλίστρων και Απόδοσηςτου φόρου αυτού</w:t>
      </w:r>
    </w:p>
    <w:p>
      <w:pPr>
        <w:pStyle w:val="MainText"/>
        <w:spacing w:before="120" w:after="0"/>
        <w:rPr>
          <w:lang w:val="el" w:eastAsia="el"/>
        </w:rPr>
      </w:pPr>
      <w:r>
        <w:rPr>
          <w:b/>
          <w:bCs/>
          <w:lang w:val="el" w:eastAsia="el"/>
        </w:rPr>
        <w:t>1.</w:t>
      </w:r>
      <w:r>
        <w:rPr>
          <w:lang w:val="el" w:eastAsia="el"/>
        </w:rPr>
        <w:t xml:space="preserve"> </w:t>
      </w:r>
      <w:r>
        <w:rPr>
          <w:b/>
          <w:bCs/>
          <w:lang w:val="el" w:eastAsia="el"/>
        </w:rPr>
        <w:t xml:space="preserve">Οι εμπρόθεσμες δηλώσεις απόδοσης </w:t>
      </w:r>
      <w:r>
        <w:rPr>
          <w:lang w:val="el" w:eastAsia="el"/>
        </w:rPr>
        <w:t xml:space="preserve">του φόρου ασφαλίστρων διαχειριστικής χρήσης 2011 και εφεξής υποβάλλονται </w:t>
      </w:r>
      <w:r>
        <w:rPr>
          <w:b/>
          <w:bCs/>
          <w:lang w:val="el" w:eastAsia="el"/>
        </w:rPr>
        <w:t xml:space="preserve">και ο αναλογούν φόρος </w:t>
      </w:r>
      <w:r>
        <w:rPr>
          <w:lang w:val="el" w:eastAsia="el"/>
        </w:rPr>
        <w:t xml:space="preserve">αποδίδεται </w:t>
      </w:r>
      <w:r>
        <w:rPr>
          <w:b/>
          <w:bCs/>
          <w:lang w:val="el" w:eastAsia="el"/>
        </w:rPr>
        <w:t xml:space="preserve">προαιρετικά </w:t>
      </w:r>
      <w:r>
        <w:rPr>
          <w:lang w:val="el" w:eastAsia="el"/>
        </w:rPr>
        <w:t>με τη χρήση ηλεκτρονικής μεθόδου επικοινωνίας μέσω διαδικτύου, από 22-12-2011 στο διαδικτυακό τόπο της Γενικής Γραμματείας Πληροφορικών Συστημάτων (Γ.Γ.Π.Σ</w:t>
      </w:r>
      <w:r>
        <w:rPr>
          <w:b/>
          <w:bCs/>
          <w:lang w:val="el" w:eastAsia="el"/>
        </w:rPr>
        <w:t>.).</w:t>
      </w:r>
      <w:hyperlink r:id="rId4" w:history="1">
        <w:r>
          <w:rPr>
            <w:rStyle w:val="Hyperlink"/>
            <w:b/>
            <w:bCs/>
            <w:color w:val="0000EE"/>
            <w:u w:color="0000EE"/>
            <w:lang w:val="el" w:eastAsia="el"/>
          </w:rPr>
          <w:t>www.gsis.gr</w:t>
        </w:r>
      </w:hyperlink>
    </w:p>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Οι εκπρόθεσμες </w:t>
      </w:r>
      <w:r>
        <w:rPr>
          <w:lang w:val="el" w:eastAsia="el"/>
        </w:rPr>
        <w:t xml:space="preserve">δηλώσεις απόδοσης του φόρου ασφαλίστρων διαχειριστικής χρήσης 2010 και εφεξής υποβάλλονται </w:t>
      </w:r>
      <w:r>
        <w:rPr>
          <w:b/>
          <w:bCs/>
          <w:lang w:val="el" w:eastAsia="el"/>
        </w:rPr>
        <w:t xml:space="preserve">και ο οφειλόμενος φόρος αποδίδεται </w:t>
      </w:r>
      <w:r>
        <w:rPr>
          <w:lang w:val="el" w:eastAsia="el"/>
        </w:rPr>
        <w:t>ομοίως προαιρετικά από 22.12.2011 με τη χρήση ηλεκτρονικής μεθόδου επικοινωνίας μέσω διαδικτύου, στο διαδικτυακό τόπο της Γενικής Γραμματείας Πληροφορικών Συστημάτων (Γ.Γ.Π.Σ</w:t>
      </w:r>
      <w:r>
        <w:rPr>
          <w:b/>
          <w:bCs/>
          <w:lang w:val="el" w:eastAsia="el"/>
        </w:rPr>
        <w:t xml:space="preserve">.) </w:t>
      </w:r>
      <w:hyperlink r:id="rId5" w:history="1">
        <w:r>
          <w:rPr>
            <w:rStyle w:val="Hyperlink"/>
            <w:b/>
            <w:bCs/>
            <w:color w:val="0000EE"/>
            <w:u w:color="0000EE"/>
            <w:lang w:val="el" w:eastAsia="el"/>
          </w:rPr>
          <w:t>www.gsis.gr</w:t>
        </w:r>
      </w:hyperlink>
    </w:p>
    <w:p>
      <w:pPr>
        <w:pStyle w:val="MainText"/>
        <w:spacing w:before="120" w:after="0"/>
        <w:rPr>
          <w:lang w:val="el" w:eastAsia="el"/>
        </w:rPr>
      </w:pPr>
      <w:r>
        <w:rPr>
          <w:b/>
          <w:bCs/>
          <w:lang w:val="el" w:eastAsia="el"/>
        </w:rPr>
        <w:t>3.</w:t>
      </w:r>
      <w:r>
        <w:rPr>
          <w:lang w:val="el" w:eastAsia="el"/>
        </w:rPr>
        <w:t xml:space="preserve"> Η οριζόμενη στις παραγράφους 1 και 2 του παρόντος διαδικασία </w:t>
      </w:r>
      <w:r>
        <w:rPr>
          <w:b/>
          <w:bCs/>
          <w:lang w:val="el" w:eastAsia="el"/>
        </w:rPr>
        <w:t>καθίσταται υποχρεωτική από το Β’ τρίμηνο της χρήσης 2012 και εφεξής.</w:t>
      </w:r>
    </w:p>
    <w:p>
      <w:pPr>
        <w:pStyle w:val="MainText"/>
        <w:spacing w:before="120" w:after="0"/>
        <w:rPr>
          <w:lang w:val="el" w:eastAsia="el"/>
        </w:rPr>
      </w:pPr>
      <w:r>
        <w:rPr>
          <w:b/>
          <w:bCs/>
          <w:lang w:val="el" w:eastAsia="el"/>
        </w:rPr>
        <w:t>4.</w:t>
      </w:r>
      <w:r>
        <w:rPr>
          <w:lang w:val="el" w:eastAsia="el"/>
        </w:rPr>
        <w:t xml:space="preserve"> Οι υπόχρεοι, εφόσον είναι νέοι χρήστες, εγγράφονται στις ηλεκτρονικές υπηρεσίες TAXISnet σύμφωνα με όσα ορίζονται στην με αριθμό ΠΟΛ.1178/ 7.12.2010, ΑΔΑ41ΦΜΗ-ΤΛ(ΦΕΚΒ΄/9.12.10) Απόφαση του Υπουργού Οικονομικών. Η διαδικασία αυτή δεν απαιτείται για τους ήδη πιστοποιημένους χρήστες σε οποιαδήποτε εφαρμογή</w:t>
      </w:r>
      <w:r>
        <w:rPr>
          <w:b/>
          <w:bCs/>
          <w:lang w:val="el" w:eastAsia="el"/>
        </w:rPr>
        <w:t xml:space="preserve">. </w:t>
      </w:r>
      <w:r>
        <w:rPr>
          <w:lang w:val="el" w:eastAsia="el"/>
        </w:rPr>
        <w:t>Σε περίπτωση απενεργοποίησης από την ΓΓΠΣ των κωδικών πρόσβασης στο σύστημα, εφαρμόζονται τα αναφερόμενα στο άρθρο 6 της ανωτέρω απόφασης.</w:t>
      </w:r>
    </w:p>
    <w:p>
      <w:pPr>
        <w:pStyle w:val="MainText"/>
        <w:spacing w:before="120" w:after="0"/>
        <w:rPr>
          <w:lang w:val="el" w:eastAsia="el"/>
        </w:rPr>
      </w:pPr>
      <w:r>
        <w:rPr>
          <w:b/>
          <w:bCs/>
          <w:lang w:val="el" w:eastAsia="el"/>
        </w:rPr>
        <w:t>5.</w:t>
      </w:r>
      <w:r>
        <w:rPr>
          <w:lang w:val="el" w:eastAsia="el"/>
        </w:rPr>
        <w:t xml:space="preserve"> Όλες οι τροποποιητικές δηλώσεις απόδοσης φόρου ασφαλίστρων υποβάλλονται υποχρεωτικά στην αρμόδια Δ.Ο.Υ.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Αποδεικτικό ηλεκτρονικής υποβολής και καταβολής του φόρου</w:t>
      </w:r>
    </w:p>
    <w:p>
      <w:pPr>
        <w:spacing w:before="240" w:after="240"/>
        <w:rPr>
          <w:lang w:val="el" w:eastAsia="el"/>
        </w:rPr>
      </w:pPr>
      <w:r>
        <w:rPr>
          <w:lang w:val="el" w:eastAsia="el"/>
        </w:rPr>
        <w:t xml:space="preserve">Οι υπόχρεοι που υποβάλλουν δήλωση απόδοσης φόρου ασφαλίστρων και καταβάλλουν το φόρο με τη χρήση ηλεκτρονικής μεθόδου επικοινωνίας μέσω διαδικτύου, οφείλουν να δώσουν εντολή πληρωμής, </w:t>
      </w:r>
      <w:r>
        <w:rPr>
          <w:b/>
          <w:bCs/>
          <w:lang w:val="el" w:eastAsia="el"/>
        </w:rPr>
        <w:t xml:space="preserve">μέχρι την καταληκτική ημερομηνία, </w:t>
      </w:r>
      <w:r>
        <w:rPr>
          <w:lang w:val="el" w:eastAsia="el"/>
        </w:rPr>
        <w:t>σε τράπεζες που έχουν συμβληθεί με το Υπουργείο Οικονομικών για να παρέχουν την υπηρεσία αυτή. Το σύστημα μετά την οριστικοποίηση της υποβολής της δήλωσης παράγει το σημείωμα για πληρωμή του φόρου όπου περιέχεται η «Ταυτότητα Πληρωμής», στοιχείο απαραίτητο για να δοθεί η εντολή πληρωμής στην τράπεζα. Στην κωδικοποίηση της ταυτότητας πληρωμής ορίζεται το ποσό και προσδιορίζεται η προθεσμία για την καταβολή του στην τράπεζα.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Ημερομηνία υποβολής</w:t>
      </w:r>
    </w:p>
    <w:p>
      <w:pPr>
        <w:pStyle w:val="MainText"/>
        <w:spacing w:before="120" w:after="0"/>
        <w:rPr>
          <w:lang w:val="el" w:eastAsia="el"/>
        </w:rPr>
      </w:pPr>
      <w:r>
        <w:rPr>
          <w:b/>
          <w:bCs/>
          <w:lang w:val="el" w:eastAsia="el"/>
        </w:rPr>
        <w:t>1.</w:t>
      </w:r>
      <w:r>
        <w:rPr>
          <w:lang w:val="el" w:eastAsia="el"/>
        </w:rPr>
        <w:t xml:space="preserve"> Η προθεσμία υποβολής είναι αυτή που ορίζεται στις διατάξεις της παραγράφου 6 του άρθρου 29 του ν.3492/2006, δηλαδή μέχρι την τελευταία ημέρα των μηνών Ιουνίου για το Α΄ τρίμηνο (Ιανουαρίου-Φεβρουαρίου-Μαρτίου), Σεπτεμβρίου για το Β΄ τρίμηνο (Απριλίου-Μαΐου-Ιουνίου), Δεκεμβρίου για το Γ’ τρίμηνο (Ιουλίου- Αυγούστου-Σεπτεμβρίου), και Μαρτίου του επόμενου έτους για το Δ΄ τρίμηνο (Οκτωβρίου-Νοεμβρίου-Δεκεμβρίου). Σε περίπτωση που η τελευταία ημέρα είναι Σάββατο ή Κυριακή ή επίσημη αργία καταληκτική ημερομηνία υποβολής είναι η πρώτη επόμενη εργάσιμη μέρα.</w:t>
      </w:r>
    </w:p>
    <w:p>
      <w:pPr>
        <w:pStyle w:val="MainText"/>
        <w:spacing w:before="120" w:after="0"/>
        <w:rPr>
          <w:lang w:val="el" w:eastAsia="el"/>
        </w:rPr>
      </w:pPr>
      <w:r>
        <w:rPr>
          <w:b/>
          <w:bCs/>
          <w:lang w:val="el" w:eastAsia="el"/>
        </w:rPr>
        <w:t>2.</w:t>
      </w:r>
      <w:r>
        <w:rPr>
          <w:lang w:val="el" w:eastAsia="el"/>
        </w:rPr>
        <w:t xml:space="preserve"> Ως ημερομηνία υποβολής της δήλωσης, κατά την ηλεκτρονική υποβολή, θεωρείται η ημερομηνία πληρωμής στην τράπεζα.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 xml:space="preserve">Έλεγχος – </w:t>
      </w:r>
    </w:p>
    <w:p>
      <w:pPr>
        <w:spacing w:before="240" w:after="240"/>
        <w:rPr>
          <w:lang w:val="el" w:eastAsia="el"/>
        </w:rPr>
      </w:pPr>
      <w:r>
        <w:rPr>
          <w:b/>
          <w:bCs/>
          <w:lang w:val="el" w:eastAsia="el"/>
        </w:rPr>
        <w:t>Ενημέρωση Δ.Ο.Υ. με καταχώριση στοιχείων δηλώσεων καιβεβαίωση/πίστωση των εισπραχθέντων εσόδων.</w:t>
      </w:r>
    </w:p>
    <w:p>
      <w:pPr>
        <w:pStyle w:val="MainText"/>
        <w:spacing w:before="120" w:after="0"/>
        <w:rPr>
          <w:lang w:val="el" w:eastAsia="el"/>
        </w:rPr>
      </w:pPr>
      <w:r>
        <w:rPr>
          <w:b/>
          <w:bCs/>
          <w:lang w:val="el" w:eastAsia="el"/>
        </w:rPr>
        <w:t>1.</w:t>
      </w:r>
      <w:r>
        <w:rPr>
          <w:lang w:val="el" w:eastAsia="el"/>
        </w:rPr>
        <w:t xml:space="preserve"> Η αρμόδια Δ.Ο.Υ. ενημερώνεται από την Γ.Γ.Π.Σ., αμέσως μετά τη λήξη της προθεσμίας υποβολής των δηλώσεων απόδοσης φόρου ασφαλίστρων και την διαπίστωση της καταβολής του φόρου, ανά υπόχρεο, με ταυτόχρονη καταχώρηση στο σύστημα TAXIS των βασικών στοιχείων παραλαβής δήλωσης και βεβαίωσης/πίστωσης των εισπραχθέντων εσόδων, με ημερομηνία τριπλοτύπου βεβαίωσης και πίστωσης αυτήν της πληρωμής στην τράπεζα.</w:t>
      </w:r>
    </w:p>
    <w:p>
      <w:pPr>
        <w:pStyle w:val="MainText"/>
        <w:spacing w:before="120" w:after="0"/>
        <w:rPr>
          <w:lang w:val="el" w:eastAsia="el"/>
        </w:rPr>
      </w:pPr>
      <w:r>
        <w:rPr>
          <w:b/>
          <w:bCs/>
          <w:lang w:val="el" w:eastAsia="el"/>
        </w:rPr>
        <w:t>2.</w:t>
      </w:r>
      <w:r>
        <w:rPr>
          <w:lang w:val="el" w:eastAsia="el"/>
        </w:rPr>
        <w:t xml:space="preserve"> Η αρμόδια Δ.Ο.Υ. έχει τη δυνατότητα εμφάνισης των βασικών στοιχείων δηλώσεων απόδοσης φόρου ασφαλίστρων, των χρηματικών καταλόγων βεβαίωσης και των στοιχείων πληρωμής αυτών.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lang w:val="el" w:eastAsia="el"/>
        </w:rPr>
        <w:t>Ισχύς της Απόφασης</w:t>
      </w:r>
    </w:p>
    <w:p>
      <w:pPr>
        <w:pStyle w:val="MainText"/>
        <w:spacing w:before="120" w:after="0"/>
        <w:rPr>
          <w:lang w:val="el" w:eastAsia="el"/>
        </w:rPr>
      </w:pPr>
      <w:r>
        <w:rPr>
          <w:b/>
          <w:bCs/>
          <w:lang w:val="el" w:eastAsia="el"/>
        </w:rPr>
        <w:t>1.</w:t>
      </w:r>
      <w:r>
        <w:rPr>
          <w:lang w:val="el" w:eastAsia="el"/>
        </w:rPr>
        <w:t xml:space="preserve"> Η παρούσα απόφαση ισχύει για τη διαχειριστική χρήση 2010 και επόμενες.</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lang w:val="el" w:eastAsia="el"/>
        </w:rPr>
        <w:t>Ο ΑΝΑΠΛΗΡΩΤΗΣ ΥΠΟΥΡΓΟΣ ΟΙΚΟΝΟΜΙΚΩΝ</w:t>
      </w:r>
    </w:p>
    <w:p>
      <w:pPr>
        <w:spacing w:before="240" w:after="240"/>
        <w:rPr>
          <w:lang w:val="el" w:eastAsia="el"/>
        </w:rPr>
      </w:pPr>
      <w:r>
        <w:rPr>
          <w:lang w:val="el" w:eastAsia="el"/>
        </w:rPr>
        <w:t>ΠΑΝΤΕΛΗΣ ΟΙΚΟΝΟΜΟΥ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Εθνικό Τυπογραφείο (για άμεση δημοσίευση)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Όλες τις Δ.Ο.Υ.</w:t>
      </w:r>
    </w:p>
    <w:p>
      <w:pPr>
        <w:spacing w:before="240" w:after="240"/>
        <w:rPr>
          <w:lang w:val="el" w:eastAsia="el"/>
        </w:rPr>
      </w:pPr>
      <w:r>
        <w:rPr>
          <w:lang w:val="el" w:eastAsia="el"/>
        </w:rPr>
        <w:t>2. Ελεγκτικά Κέντρα</w:t>
      </w:r>
    </w:p>
    <w:p>
      <w:pPr>
        <w:spacing w:before="240" w:after="240"/>
        <w:rPr>
          <w:lang w:val="el" w:eastAsia="el"/>
        </w:rPr>
      </w:pPr>
      <w:r>
        <w:rPr>
          <w:lang w:val="el" w:eastAsia="el"/>
        </w:rPr>
        <w:t>3. Κεντρική Υπηρεσία Σ.Δ.Ο.Ε.</w:t>
      </w:r>
    </w:p>
    <w:p>
      <w:pPr>
        <w:spacing w:before="240" w:after="240"/>
        <w:rPr>
          <w:lang w:val="el" w:eastAsia="el"/>
        </w:rPr>
      </w:pPr>
      <w:r>
        <w:rPr>
          <w:lang w:val="el" w:eastAsia="el"/>
        </w:rPr>
        <w:t>4. Ένωση Ασφαλιστικών Εταιρειών Ελλάδος</w:t>
      </w:r>
    </w:p>
    <w:p>
      <w:pPr>
        <w:spacing w:before="240" w:after="240"/>
        <w:rPr>
          <w:lang w:val="el" w:eastAsia="el"/>
        </w:rPr>
      </w:pPr>
      <w:r>
        <w:rPr>
          <w:lang w:val="el" w:eastAsia="el"/>
        </w:rPr>
        <w:t>Ξενοφώντος 10 - 10557 Αθήνα</w:t>
      </w:r>
    </w:p>
    <w:p>
      <w:pPr>
        <w:spacing w:before="240" w:after="240"/>
        <w:rPr>
          <w:lang w:val="el" w:eastAsia="el"/>
        </w:rPr>
      </w:pPr>
      <w:r>
        <w:rPr>
          <w:lang w:val="el" w:eastAsia="el"/>
        </w:rPr>
        <w:t>5. Τράπεζα της Ελλάδος - Δ/νση Εποπτείας Ιδιωτικής Ασφάλισης, Ελευθερίου Βενιζέλου 21, 10250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Υπουργού Οικονομικών κ.. Βενιζέλου</w:t>
      </w:r>
    </w:p>
    <w:p>
      <w:pPr>
        <w:spacing w:before="240" w:after="240"/>
        <w:rPr>
          <w:lang w:val="el" w:eastAsia="el"/>
        </w:rPr>
      </w:pPr>
      <w:r>
        <w:rPr>
          <w:lang w:val="el" w:eastAsia="el"/>
        </w:rPr>
        <w:t>2. Γραφείο Αναπληρωτή Υπουργού Οικονομικών κ. Π. Οικονόμου</w:t>
      </w:r>
    </w:p>
    <w:p>
      <w:pPr>
        <w:spacing w:before="240" w:after="240"/>
        <w:rPr>
          <w:lang w:val="el" w:eastAsia="el"/>
        </w:rPr>
      </w:pPr>
      <w:r>
        <w:rPr>
          <w:lang w:val="el" w:eastAsia="el"/>
        </w:rPr>
        <w:t>3. Γραφείο Αναπληρωτή Υπουργού Οικονομικών κ. Φ. Σαχινίδη</w:t>
      </w:r>
    </w:p>
    <w:p>
      <w:pPr>
        <w:spacing w:before="240" w:after="240"/>
        <w:rPr>
          <w:lang w:val="el" w:eastAsia="el"/>
        </w:rPr>
      </w:pPr>
      <w:r>
        <w:rPr>
          <w:lang w:val="el" w:eastAsia="el"/>
        </w:rPr>
        <w:t>4. Γραφείο Γενικού Γραμματέα Η. Πλασκοβίτη</w:t>
      </w:r>
    </w:p>
    <w:p>
      <w:pPr>
        <w:spacing w:before="240" w:after="240"/>
        <w:rPr>
          <w:lang w:val="el" w:eastAsia="el"/>
        </w:rPr>
      </w:pPr>
      <w:r>
        <w:rPr>
          <w:lang w:val="el" w:eastAsia="el"/>
        </w:rPr>
        <w:t>5. Γραφείο Γενικού Γραμματέα Φορολογικών και Τελωνειακών Θεμάτων</w:t>
      </w:r>
    </w:p>
    <w:p>
      <w:pPr>
        <w:spacing w:before="240" w:after="240"/>
        <w:rPr>
          <w:lang w:val="el" w:eastAsia="el"/>
        </w:rPr>
      </w:pPr>
      <w:r>
        <w:rPr>
          <w:lang w:val="el" w:eastAsia="el"/>
        </w:rPr>
        <w:t>6. Γραφείο Γενικού Γραμματέα ΓΓΠΣ κ. Θ. Θεοχάρη</w:t>
      </w:r>
    </w:p>
    <w:p>
      <w:pPr>
        <w:spacing w:before="240" w:after="240"/>
        <w:rPr>
          <w:lang w:val="el" w:eastAsia="el"/>
        </w:rPr>
      </w:pPr>
      <w:r>
        <w:rPr>
          <w:lang w:val="el" w:eastAsia="el"/>
        </w:rPr>
        <w:t>7. Γεν. Δ/νση Οικονομικής Επιθεώρησης – Θεμιστοκλέους 5 – 101 84 ΑΘΗΝΑ</w:t>
      </w:r>
    </w:p>
    <w:p>
      <w:pPr>
        <w:spacing w:before="240" w:after="240"/>
        <w:rPr>
          <w:lang w:val="el" w:eastAsia="el"/>
        </w:rPr>
      </w:pPr>
      <w:r>
        <w:rPr>
          <w:lang w:val="el" w:eastAsia="el"/>
        </w:rPr>
        <w:t>8. Γραφεία κ.κ. Γενικών Διευθυντών</w:t>
      </w:r>
    </w:p>
    <w:p>
      <w:pPr>
        <w:spacing w:before="240" w:after="240"/>
        <w:rPr>
          <w:lang w:val="el" w:eastAsia="el"/>
        </w:rPr>
      </w:pPr>
      <w:r>
        <w:rPr>
          <w:lang w:val="el" w:eastAsia="el"/>
        </w:rPr>
        <w:t>9. Γραφείο Γενικού Δ/ντή Φορολογίας κ. Σταματόπουλου</w:t>
      </w:r>
    </w:p>
    <w:p>
      <w:pPr>
        <w:spacing w:before="240" w:after="240"/>
        <w:rPr>
          <w:lang w:val="el" w:eastAsia="el"/>
        </w:rPr>
      </w:pPr>
      <w:r>
        <w:rPr>
          <w:lang w:val="el" w:eastAsia="el"/>
        </w:rPr>
        <w:t>10. Όλες τις Φορολογικές Διευθύνσεις και Τμήματα</w:t>
      </w:r>
    </w:p>
    <w:p>
      <w:pPr>
        <w:spacing w:before="240" w:after="240"/>
        <w:rPr>
          <w:lang w:val="el" w:eastAsia="el"/>
        </w:rPr>
      </w:pPr>
      <w:r>
        <w:rPr>
          <w:lang w:val="el" w:eastAsia="el"/>
        </w:rPr>
        <w:t>11. Γ.Γ.Π.Σ. Δ/νση 30</w:t>
      </w:r>
      <w:r>
        <w:rPr>
          <w:sz w:val="30"/>
          <w:szCs w:val="30"/>
          <w:vertAlign w:val="superscript"/>
          <w:lang w:val="el" w:eastAsia="el"/>
        </w:rPr>
        <w:t>η</w:t>
      </w:r>
      <w:r>
        <w:rPr>
          <w:lang w:val="el" w:eastAsia="el"/>
        </w:rPr>
        <w:t xml:space="preserve"> - Τμήμα Β’</w:t>
      </w:r>
    </w:p>
    <w:p>
      <w:pPr>
        <w:spacing w:before="240" w:after="240"/>
        <w:rPr>
          <w:lang w:val="el" w:eastAsia="el"/>
        </w:rPr>
      </w:pPr>
      <w:r>
        <w:rPr>
          <w:lang w:val="el" w:eastAsia="el"/>
        </w:rPr>
        <w:t>12. Γ.Γ.Π.Σ. ( Δ 30) α) Έργο TAXIS – Ομάδα Άλλων Φόρων.</w:t>
      </w:r>
    </w:p>
    <w:p>
      <w:pPr>
        <w:pStyle w:val="StructureList1"/>
        <w:spacing w:before="120" w:after="0"/>
        <w:rPr>
          <w:lang w:val="el" w:eastAsia="el"/>
        </w:rPr>
      </w:pPr>
      <w:r>
        <w:rPr>
          <w:lang w:val="el" w:eastAsia="el"/>
        </w:rPr>
        <w:t>β)</w:t>
      </w:r>
      <w:r>
        <w:rPr>
          <w:lang w:val="en" w:eastAsia="en"/>
        </w:rPr>
        <w:tab/>
      </w:r>
      <w:r>
        <w:rPr>
          <w:lang w:val="el" w:eastAsia="el"/>
        </w:rPr>
        <w:t>Έργο TAXIS – για καταχώρηση στο Διαδίκτυο</w:t>
      </w:r>
    </w:p>
    <w:p>
      <w:pPr>
        <w:spacing w:before="240" w:after="240"/>
        <w:rPr>
          <w:lang w:val="el" w:eastAsia="el"/>
        </w:rPr>
      </w:pPr>
      <w:r>
        <w:rPr>
          <w:lang w:val="el" w:eastAsia="el"/>
        </w:rPr>
        <w:t>13. Γραφείο Τύπου και Δημοσίων Σχέσεων (10 αντίγραφα)</w:t>
      </w:r>
    </w:p>
    <w:p>
      <w:pPr>
        <w:spacing w:before="240" w:after="240"/>
        <w:rPr>
          <w:lang w:val="el" w:eastAsia="el"/>
        </w:rPr>
      </w:pPr>
      <w:r>
        <w:rPr>
          <w:lang w:val="el" w:eastAsia="el"/>
        </w:rPr>
        <w:t>14. Περιοδικό «Φορολογική επιθεώρηση».</w:t>
      </w:r>
    </w:p>
    <w:p>
      <w:pPr>
        <w:spacing w:before="240" w:after="240"/>
        <w:rPr>
          <w:lang w:val="el" w:eastAsia="el"/>
        </w:rPr>
      </w:pPr>
      <w:r>
        <w:rPr>
          <w:lang w:val="el" w:eastAsia="el"/>
        </w:rPr>
        <w:t>15. Γραφείο Επικοινωνίας και Πληροφόρησης Πολιτών.</w:t>
      </w:r>
    </w:p>
    <w:p>
      <w:pPr>
        <w:spacing w:before="240" w:after="240"/>
        <w:rPr>
          <w:lang w:val="el" w:eastAsia="el"/>
        </w:rPr>
      </w:pPr>
      <w:r>
        <w:rPr>
          <w:lang w:val="el" w:eastAsia="el"/>
        </w:rPr>
        <w:t>16. Δ/νση Πολιτικής Είσπραξης Δημοσίων Εσόδων</w:t>
      </w:r>
    </w:p>
    <w:p>
      <w:pPr>
        <w:spacing w:before="240" w:after="240"/>
        <w:rPr>
          <w:lang w:val="el" w:eastAsia="el"/>
        </w:rPr>
      </w:pPr>
      <w:r>
        <w:rPr>
          <w:lang w:val="el" w:eastAsia="el"/>
        </w:rPr>
        <w:t>17. Δ/νση Τελών &amp; Ειδ. Φορολογιών – Τμήμα Β΄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is.gr" TargetMode="External" /><Relationship Id="rId5" Type="http://schemas.openxmlformats.org/officeDocument/2006/relationships/hyperlink" Target="http://www.gsis.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