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1267</w:t>
      </w:r>
    </w:p>
    <w:p>
      <w:pPr>
        <w:pStyle w:val="enacting"/>
        <w:spacing w:before="120" w:after="0"/>
        <w:rPr>
          <w:lang w:val="el" w:eastAsia="el"/>
        </w:rPr>
      </w:pPr>
      <w:r>
        <w:rPr>
          <w:lang w:val="el" w:eastAsia="el"/>
        </w:rPr>
        <w:t>Χρόνος και τρόπος υποβολής της περιοδικήςδήλωσης ΦΠΑ.</w:t>
      </w:r>
      <w:r>
        <w:rPr>
          <w:lang w:val="el" w:eastAsia="el"/>
        </w:rPr>
        <w:br/>
      </w:r>
      <w:r>
        <w:rPr>
          <w:b/>
          <w:bCs/>
          <w:lang w:val="el" w:eastAsia="el"/>
        </w:rPr>
        <w:t>ΟΑΝΑΠΛΗΡΩΤΗΣΥΠΟΥΡΓΟΣΟΙΚΟΝΟΜΙΚΩΝ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ακόλουθες διατάξεις του Κώδικα ΦΠΑ (κύρωση με το ν.2859/2000 - ΦΕΚ 248 Α’/7.11.2000), όπως ισχύουν: α) της παραγράφου 1 του άρθρου 35,</w:t>
      </w:r>
    </w:p>
    <w:p>
      <w:pPr>
        <w:pStyle w:val="StructureList1"/>
        <w:spacing w:before="120" w:after="0"/>
        <w:rPr>
          <w:lang w:val="el" w:eastAsia="el"/>
        </w:rPr>
      </w:pPr>
      <w:r>
        <w:rPr>
          <w:lang w:val="el" w:eastAsia="el"/>
        </w:rPr>
        <w:t>β)</w:t>
      </w:r>
      <w:r>
        <w:rPr>
          <w:lang w:val="en" w:eastAsia="en"/>
        </w:rPr>
        <w:tab/>
      </w:r>
      <w:r>
        <w:rPr>
          <w:lang w:val="el" w:eastAsia="el"/>
        </w:rPr>
        <w:t>των παραγράφων, 9 περίπτωση α’ και 11 του άρθρου 36,</w:t>
      </w:r>
    </w:p>
    <w:p>
      <w:pPr>
        <w:pStyle w:val="StructureList1"/>
        <w:spacing w:before="120" w:after="0"/>
        <w:rPr>
          <w:lang w:val="el" w:eastAsia="el"/>
        </w:rPr>
      </w:pPr>
      <w:r>
        <w:rPr>
          <w:lang w:val="el" w:eastAsia="el"/>
        </w:rPr>
        <w:t>γ)</w:t>
      </w:r>
      <w:r>
        <w:rPr>
          <w:lang w:val="en" w:eastAsia="en"/>
        </w:rPr>
        <w:tab/>
      </w:r>
      <w:r>
        <w:rPr>
          <w:lang w:val="el" w:eastAsia="el"/>
        </w:rPr>
        <w:t>των παραγράφων, 1 περίπτωση α’, 2, 3, 6 και 11 του άρθρου 38,</w:t>
      </w:r>
    </w:p>
    <w:p>
      <w:pPr>
        <w:pStyle w:val="StructureList1"/>
        <w:spacing w:before="120" w:after="0"/>
        <w:rPr>
          <w:lang w:val="el" w:eastAsia="el"/>
        </w:rPr>
      </w:pPr>
      <w:r>
        <w:rPr>
          <w:lang w:val="el" w:eastAsia="el"/>
        </w:rPr>
        <w:t>δ)</w:t>
      </w:r>
      <w:r>
        <w:rPr>
          <w:lang w:val="en" w:eastAsia="en"/>
        </w:rPr>
        <w:tab/>
      </w:r>
      <w:r>
        <w:rPr>
          <w:lang w:val="el" w:eastAsia="el"/>
        </w:rPr>
        <w:t>των παραγράφων 2 και 6 του άρθρου 54, ε) της παραγράφου 2 του άρθρου 59, στ) της παραγράφου 3 του άρθρου 64.</w:t>
      </w:r>
    </w:p>
    <w:p>
      <w:pPr>
        <w:pStyle w:val="PreambelText"/>
        <w:spacing w:before="240" w:after="240"/>
        <w:rPr>
          <w:lang w:val="el" w:eastAsia="el"/>
        </w:rPr>
      </w:pPr>
      <w:r>
        <w:rPr>
          <w:lang w:val="el" w:eastAsia="el"/>
        </w:rPr>
        <w:t>2. Τις διατάξεις του άρθρου 12 του ν.2362/1995 (ΦΕΚ 247 Α’/27.11.1995) και του ΠΔ 16/1989 (ΦΕΚ 6 Α’/5.1.1989), περί αποδεικτικών εισπράξεως.</w:t>
      </w:r>
    </w:p>
    <w:p>
      <w:pPr>
        <w:pStyle w:val="PreambelText"/>
        <w:spacing w:before="240" w:after="240"/>
        <w:rPr>
          <w:lang w:val="el" w:eastAsia="el"/>
        </w:rPr>
      </w:pPr>
      <w:r>
        <w:rPr>
          <w:lang w:val="el" w:eastAsia="el"/>
        </w:rPr>
        <w:t>3. Τις διατάξεις των ακόλουθων αποφάσεων:</w:t>
      </w:r>
    </w:p>
    <w:p>
      <w:pPr>
        <w:pStyle w:val="StructureList1"/>
        <w:spacing w:before="120" w:after="0"/>
        <w:rPr>
          <w:lang w:val="el" w:eastAsia="el"/>
        </w:rPr>
      </w:pPr>
      <w:r>
        <w:rPr>
          <w:lang w:val="el" w:eastAsia="el"/>
        </w:rPr>
        <w:t>α)</w:t>
      </w:r>
      <w:r>
        <w:rPr>
          <w:lang w:val="en" w:eastAsia="en"/>
        </w:rPr>
        <w:tab/>
      </w:r>
      <w:r>
        <w:rPr>
          <w:lang w:val="el" w:eastAsia="el"/>
        </w:rPr>
        <w:t>ΠΟΛ 1178/2010 (ΦΕΚ 1916/Β’/9.12.2010) «Εγγραφή νέων χρηστών στις ηλεκτρονικές υπηρεσίες TAXISnet».</w:t>
      </w:r>
    </w:p>
    <w:p>
      <w:pPr>
        <w:pStyle w:val="StructureList1"/>
        <w:spacing w:before="120" w:after="0"/>
        <w:rPr>
          <w:lang w:val="el" w:eastAsia="el"/>
        </w:rPr>
      </w:pPr>
      <w:r>
        <w:rPr>
          <w:lang w:val="el" w:eastAsia="el"/>
        </w:rPr>
        <w:t>β)</w:t>
      </w:r>
      <w:r>
        <w:rPr>
          <w:lang w:val="en" w:eastAsia="en"/>
        </w:rPr>
        <w:tab/>
      </w:r>
      <w:r>
        <w:rPr>
          <w:lang w:val="el" w:eastAsia="el"/>
        </w:rPr>
        <w:t>ΠΟΛ 1060/2006 (ΦΕΚ 568Β’/08.05.2006) «Χρόνος υποβολής της περιοδικής δήλωσης ΦΠΑ».</w:t>
      </w:r>
    </w:p>
    <w:p>
      <w:pPr>
        <w:pStyle w:val="StructureList1"/>
        <w:spacing w:before="120" w:after="0"/>
        <w:rPr>
          <w:lang w:val="el" w:eastAsia="el"/>
        </w:rPr>
      </w:pPr>
      <w:r>
        <w:rPr>
          <w:lang w:val="el" w:eastAsia="el"/>
        </w:rPr>
        <w:t>γ)</w:t>
      </w:r>
      <w:r>
        <w:rPr>
          <w:lang w:val="en" w:eastAsia="en"/>
        </w:rPr>
        <w:tab/>
      </w:r>
      <w:r>
        <w:rPr>
          <w:lang w:val="el" w:eastAsia="el"/>
        </w:rPr>
        <w:t>ΠΟΛ 1063/2004 (ΦΕΚ 1087Β’/19.7.2004) «Προαιρετική υποβολή περιοδικών δηλώσεων ΦΠΑ με τη χρήση ηλεκτρονικής μεθόδου (TAXISnet), από τους υπόχρεους που τηρούν βιβλία Α’ και Β’ κατηγορίας του Κ.Β.Σ.».</w:t>
      </w:r>
    </w:p>
    <w:p>
      <w:pPr>
        <w:pStyle w:val="StructureList1"/>
        <w:spacing w:before="120" w:after="0"/>
        <w:rPr>
          <w:lang w:val="el" w:eastAsia="el"/>
        </w:rPr>
      </w:pPr>
      <w:r>
        <w:rPr>
          <w:lang w:val="el" w:eastAsia="el"/>
        </w:rPr>
        <w:t>δ)</w:t>
      </w:r>
      <w:r>
        <w:rPr>
          <w:lang w:val="en" w:eastAsia="en"/>
        </w:rPr>
        <w:tab/>
      </w:r>
      <w:r>
        <w:rPr>
          <w:lang w:val="el" w:eastAsia="el"/>
        </w:rPr>
        <w:t>ΠΟΛ 1003/2004 (ΦΕΚ 132Β’/29.01.2004) «Χρόνος υποβολής των περιοδικών δηλώσεων που υποβάλλονται μέσω TAXISnet για τις οποίες έχουν καταβληθεί λανθασμένα μικρότερα ποσά του χρεωστικού υπολοίπου».</w:t>
      </w:r>
    </w:p>
    <w:p>
      <w:pPr>
        <w:pStyle w:val="StructureList1"/>
        <w:spacing w:before="120" w:after="0"/>
        <w:rPr>
          <w:lang w:val="el" w:eastAsia="el"/>
        </w:rPr>
      </w:pPr>
      <w:r>
        <w:rPr>
          <w:lang w:val="el" w:eastAsia="el"/>
        </w:rPr>
        <w:t>ε)</w:t>
      </w:r>
      <w:r>
        <w:rPr>
          <w:lang w:val="en" w:eastAsia="en"/>
        </w:rPr>
        <w:tab/>
      </w:r>
      <w:r>
        <w:rPr>
          <w:lang w:val="el" w:eastAsia="el"/>
        </w:rPr>
        <w:t>ΠΟΛ 1019/2003 (ΦΕΚ 154Β’/13.2.2003) «Τύπος, περιεχόμενο, τρόπος και χρόνος υποβολής της περιοδικής δήλωσης ΦΠΑ για υποκείμενους με βιβλία Α’ ή Β’ ή Γ’ κατηγορίας του Κ.Β.Σ., καθώς και της έκτακτης δήλωσης ΦΠΑ, των υποκειμένων αυτών, των μη υποκειμένων ή απαλλασσομένων».</w:t>
      </w:r>
    </w:p>
    <w:p>
      <w:pPr>
        <w:pStyle w:val="StructureList1"/>
        <w:spacing w:before="120" w:after="0"/>
        <w:rPr>
          <w:lang w:val="el" w:eastAsia="el"/>
        </w:rPr>
      </w:pPr>
      <w:r>
        <w:rPr>
          <w:lang w:val="el" w:eastAsia="el"/>
        </w:rPr>
        <w:t>στ)</w:t>
      </w:r>
      <w:r>
        <w:rPr>
          <w:lang w:val="en" w:eastAsia="en"/>
        </w:rPr>
        <w:tab/>
      </w:r>
      <w:r>
        <w:rPr>
          <w:lang w:val="el" w:eastAsia="el"/>
        </w:rPr>
        <w:t>ΠΟΛ 1054/2001 (ΦΕΚ 215 Β’/05.02.2001) «Είσπραξη του ΦΠΑ που υποβάλλεται ηλεκτρονικά, με χρέωση Τραπεζικών λογαριασμών των υποκειμένων».</w:t>
      </w:r>
    </w:p>
    <w:p>
      <w:pPr>
        <w:pStyle w:val="StructureList1"/>
        <w:spacing w:before="120" w:after="0"/>
        <w:rPr>
          <w:lang w:val="el" w:eastAsia="el"/>
        </w:rPr>
      </w:pPr>
      <w:r>
        <w:rPr>
          <w:lang w:val="el" w:eastAsia="el"/>
        </w:rPr>
        <w:t>ζ)</w:t>
      </w:r>
      <w:r>
        <w:rPr>
          <w:lang w:val="en" w:eastAsia="en"/>
        </w:rPr>
        <w:tab/>
      </w:r>
      <w:r>
        <w:rPr>
          <w:lang w:val="el" w:eastAsia="el"/>
        </w:rPr>
        <w:t>ΠΟΛ 1055/2001 (ΦΕΚ 215 Β’/05.02.2001) «Όροι και προϋποθέσεις υποβολής της περιοδικής δήλωσης ΦΠΑ με ηλεκτρονικά μέσα».</w:t>
      </w:r>
    </w:p>
    <w:p>
      <w:pPr>
        <w:pStyle w:val="StructureList1"/>
        <w:spacing w:before="120" w:after="0"/>
        <w:rPr>
          <w:lang w:val="el" w:eastAsia="el"/>
        </w:rPr>
      </w:pPr>
      <w:r>
        <w:rPr>
          <w:lang w:val="el" w:eastAsia="el"/>
        </w:rPr>
        <w:t>η)</w:t>
      </w:r>
      <w:r>
        <w:rPr>
          <w:lang w:val="en" w:eastAsia="en"/>
        </w:rPr>
        <w:tab/>
      </w:r>
      <w:r>
        <w:rPr>
          <w:lang w:val="el" w:eastAsia="el"/>
        </w:rPr>
        <w:t>ΠΟΛ 1257/2001 (ΦΕΚ 1578 Β’/29.11.2001) «Υποχρέωση υποβολής των περιοδικών δηλώσεων ΦΠΑ μόνο με τη χρήση ηλεκτρονικής μεθόδου (TAXISnet)».</w:t>
      </w:r>
    </w:p>
    <w:p>
      <w:pPr>
        <w:pStyle w:val="StructureList1"/>
        <w:spacing w:before="120" w:after="0"/>
        <w:rPr>
          <w:lang w:val="el" w:eastAsia="el"/>
        </w:rPr>
      </w:pPr>
      <w:r>
        <w:rPr>
          <w:lang w:val="el" w:eastAsia="el"/>
        </w:rPr>
        <w:t>θ)</w:t>
      </w:r>
      <w:r>
        <w:rPr>
          <w:lang w:val="en" w:eastAsia="en"/>
        </w:rPr>
        <w:tab/>
      </w:r>
      <w:r>
        <w:rPr>
          <w:lang w:val="el" w:eastAsia="el"/>
        </w:rPr>
        <w:t>ΠΟΛ 1005/1993 (ΦΕΚ 52 Β’/09.02.1993) «Τρόπος καταβολής του φόρου προστιθέμενης αξίας στο δημόσιο από το λήπτη των αγαθών και υπηρεσιών», όπως ισχύει μετά την τροποποίησή της με την ΑΥΟ ΠΟΛ 1115/1993 (ΦΕΚ 252 Β’/12.04.1993), ΑΥΟ ΠΟΛ 1214/1994 (ΦΕΚ 727 Β’/27.09.1994) και την ΑΥΟ ΠΟΛ 1380/2001 (ΦΕΚ 11 Β’/14.1.2002).</w:t>
      </w:r>
    </w:p>
    <w:p>
      <w:pPr>
        <w:pStyle w:val="PreambelText"/>
        <w:spacing w:before="240" w:after="240"/>
        <w:rPr>
          <w:lang w:val="el" w:eastAsia="el"/>
        </w:rPr>
      </w:pPr>
      <w:r>
        <w:rPr>
          <w:lang w:val="el" w:eastAsia="el"/>
        </w:rPr>
        <w:t>4. Το γεγονός ότι είναι δυνατή η υποβολή όλων των δηλώσεων ΦΠΑ με ηλεκτρονικό τρόπο.</w:t>
      </w:r>
    </w:p>
    <w:p>
      <w:pPr>
        <w:pStyle w:val="PreambelText"/>
        <w:spacing w:before="240" w:after="240"/>
        <w:rPr>
          <w:lang w:val="el" w:eastAsia="el"/>
        </w:rPr>
      </w:pPr>
      <w:r>
        <w:rPr>
          <w:lang w:val="el" w:eastAsia="el"/>
        </w:rPr>
        <w:t>5. Την υπ’ αριθμ. Υ 25 (ΦΕΚ 2792/Β/8.12.11) απόφαση του Πρωθυπουργού «Καθορισμός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Χρόνος υποβολής της περιοδικής δήλωσης ΦΠΑκαι καταβολής του φόρου.</w:t>
      </w:r>
    </w:p>
    <w:p>
      <w:pPr>
        <w:pStyle w:val="MainText"/>
        <w:spacing w:before="120" w:after="0"/>
        <w:rPr>
          <w:lang w:val="el" w:eastAsia="el"/>
        </w:rPr>
      </w:pPr>
      <w:r>
        <w:rPr>
          <w:b/>
          <w:bCs/>
          <w:lang w:val="el" w:eastAsia="el"/>
        </w:rPr>
        <w:t>1.</w:t>
      </w:r>
      <w:r>
        <w:rPr>
          <w:lang w:val="el" w:eastAsia="el"/>
        </w:rPr>
        <w:t xml:space="preserve"> Η περιοδική δήλωση υποβάλλεται στη Δ.Ο.Υ. που είναι αρμόδια για τη φορολογία εισοδήματος μέχρι:</w:t>
      </w:r>
    </w:p>
    <w:p>
      <w:pPr>
        <w:pStyle w:val="StructureList1"/>
        <w:spacing w:before="120" w:after="0"/>
        <w:rPr>
          <w:lang w:val="el" w:eastAsia="el"/>
        </w:rPr>
      </w:pPr>
      <w:r>
        <w:rPr>
          <w:lang w:val="el" w:eastAsia="el"/>
        </w:rPr>
        <w:t>α)</w:t>
      </w:r>
      <w:r>
        <w:rPr>
          <w:lang w:val="en" w:eastAsia="en"/>
        </w:rPr>
        <w:tab/>
      </w:r>
      <w:r>
        <w:rPr>
          <w:lang w:val="el" w:eastAsia="el"/>
        </w:rPr>
        <w:t>Την 26η ημέρα του επόμενου μήνα από τη λήξη της φορολογικής περιόδου στην οποία αφορά η δήλωση, εφόσον προκύπτει χρεωστικό υπόλοιπο.</w:t>
      </w:r>
    </w:p>
    <w:p>
      <w:pPr>
        <w:pStyle w:val="StructureList1"/>
        <w:spacing w:before="120" w:after="0"/>
        <w:rPr>
          <w:lang w:val="el" w:eastAsia="el"/>
        </w:rPr>
      </w:pPr>
      <w:r>
        <w:rPr>
          <w:lang w:val="el" w:eastAsia="el"/>
        </w:rPr>
        <w:t>β)</w:t>
      </w:r>
      <w:r>
        <w:rPr>
          <w:lang w:val="en" w:eastAsia="en"/>
        </w:rPr>
        <w:tab/>
      </w:r>
      <w:r>
        <w:rPr>
          <w:lang w:val="el" w:eastAsia="el"/>
        </w:rPr>
        <w:t>Την τελευταία ημέρα του επόμενου μήνα από τη λήξη της φορολογικής περιόδου στην οποία αφορά η δήλωση, εφόσον προκύπτει μηδενικό ή πιστωτικό υπόλοιπο.</w:t>
      </w:r>
    </w:p>
    <w:p>
      <w:pPr>
        <w:pStyle w:val="MainText"/>
        <w:spacing w:before="120" w:after="0"/>
        <w:rPr>
          <w:lang w:val="el" w:eastAsia="el"/>
        </w:rPr>
      </w:pPr>
      <w:r>
        <w:rPr>
          <w:b/>
          <w:bCs/>
          <w:lang w:val="el" w:eastAsia="el"/>
        </w:rPr>
        <w:t>2.</w:t>
      </w:r>
      <w:r>
        <w:rPr>
          <w:lang w:val="el" w:eastAsia="el"/>
        </w:rPr>
        <w:t xml:space="preserve"> Ως φορολογική περίοδος ορίζεται ο ημερολογιακός μήνας για τους υποκείμενους στο φόρο που τηρούν βιβλία Γ’ κατηγορίας του ΚΒΣ και το ελληνικό δημόσιο και το ημερολογιακό τρίμηνο για αυτούς που τηρούν βιβλία Β’ κατηγορίας του ΚΒΣ, ή δεν είναι υπόχρεοι σε τήρηση βιβλίων.</w:t>
      </w:r>
    </w:p>
    <w:p>
      <w:pPr>
        <w:pStyle w:val="MainText"/>
        <w:spacing w:before="120" w:after="0"/>
        <w:rPr>
          <w:lang w:val="el" w:eastAsia="el"/>
        </w:rPr>
      </w:pPr>
      <w:r>
        <w:rPr>
          <w:b/>
          <w:bCs/>
          <w:lang w:val="el" w:eastAsia="el"/>
        </w:rPr>
        <w:t>3.</w:t>
      </w:r>
      <w:r>
        <w:rPr>
          <w:lang w:val="el" w:eastAsia="el"/>
        </w:rPr>
        <w:t xml:space="preserve"> Οι ανωτέρω προθεσμίες ισχύουν και για τις υπό ίδρυση επιχειρήσεις, για κάθε φορολογική περίοδο κατά τη διάρκεια του ιδρυτικού τους σταδίου.</w:t>
      </w:r>
    </w:p>
    <w:p>
      <w:pPr>
        <w:pStyle w:val="MainText"/>
        <w:spacing w:before="120" w:after="0"/>
        <w:rPr>
          <w:lang w:val="el" w:eastAsia="el"/>
        </w:rPr>
      </w:pPr>
      <w:r>
        <w:rPr>
          <w:b/>
          <w:bCs/>
          <w:lang w:val="el" w:eastAsia="el"/>
        </w:rPr>
        <w:t>4.</w:t>
      </w:r>
      <w:r>
        <w:rPr>
          <w:lang w:val="el" w:eastAsia="el"/>
        </w:rPr>
        <w:t xml:space="preserve"> Κατ’ εξαίρεση, στην περίπτωση που η δήλωση έναρξης, η δήλωση διακοπής υπαγομένων σε ΦΠΑ δραστηριοτήτων, η δήλωση οριστικής παύσης εργασιών, ή η δήλωση μεταβολών μετάταξης λόγω λύσης και θέσης σε εκκαθάριση, υποβάλλονται εμπρόθεσμα, σύμφωνα με το άρθρο 36.1.α, β και γ του Κώδικα ΦΠΑ, μετά την καταληκτική προθεσμία υποβολής της περιοδικής δήλωσης, η περιοδική δήλωση υποβάλλεται εμπρόθεσμα μέχρι την 26η του επόμενου μήνα από την υποβολή των ανωτέρω δηλώσεων.</w:t>
      </w:r>
    </w:p>
    <w:p>
      <w:pPr>
        <w:pStyle w:val="MainText"/>
        <w:spacing w:before="120" w:after="0"/>
        <w:rPr>
          <w:lang w:val="el" w:eastAsia="el"/>
        </w:rPr>
      </w:pPr>
      <w:r>
        <w:rPr>
          <w:b/>
          <w:bCs/>
          <w:lang w:val="el" w:eastAsia="el"/>
        </w:rPr>
        <w:t>5.</w:t>
      </w:r>
      <w:r>
        <w:rPr>
          <w:lang w:val="el" w:eastAsia="el"/>
        </w:rPr>
        <w:t xml:space="preserve"> Σε περίπτωση γενικής αργίας ή τοπικής αργίας, ή τοπικά μη εργάσιμης ημέρας οι ανωτέρω καταληκτικές ημερομηνίες υποβολής μεταφέρονται την επόμενη τοπικά εργάσιμη ημέρα.</w:t>
      </w:r>
    </w:p>
    <w:p>
      <w:pPr>
        <w:pStyle w:val="MainText"/>
        <w:spacing w:before="120" w:after="0"/>
        <w:rPr>
          <w:lang w:val="el" w:eastAsia="el"/>
        </w:rPr>
      </w:pPr>
      <w:r>
        <w:rPr>
          <w:b/>
          <w:bCs/>
          <w:lang w:val="el" w:eastAsia="el"/>
        </w:rPr>
        <w:t>6.</w:t>
      </w:r>
      <w:r>
        <w:rPr>
          <w:lang w:val="el" w:eastAsia="el"/>
        </w:rPr>
        <w:t xml:space="preserve"> Σε περίπτωση θανάτου του λογιστή του υποκειμένου στο φόρο οι ανωτέρω καταληκτικές ημερομηνίες υποβολής, για τη φορολογική περίοδο εντός της οποίας επήλθε το γεγονός αυτό, μεταφέρονται για 10 ημερολογιακές ημέρες. Οι περιοδικές δηλώσεις στην περίπτωση αυτή θα υποβάλλονται αποκλειστικά στην αρμόδια ΔΟΥ σε έντυπη μορφή. Ο υποκείμενος στο φόρο υποβάλλει υπεύθυνη δήλωση του άρθρου 8 του ν.1599/1986 με την οποία δηλώνει ότι είχε αναθέσει την παρακολούθηση και διαχείριση των φορολογικών του υποχρεώσεων στο θανόντα καθώς και την ημερομηνία του θανάτου αυτού.</w:t>
      </w:r>
    </w:p>
    <w:p>
      <w:pPr>
        <w:pStyle w:val="MainText"/>
        <w:spacing w:before="120" w:after="0"/>
        <w:rPr>
          <w:lang w:val="el" w:eastAsia="el"/>
        </w:rPr>
      </w:pPr>
      <w:r>
        <w:rPr>
          <w:b/>
          <w:bCs/>
          <w:lang w:val="el" w:eastAsia="el"/>
        </w:rPr>
        <w:t>7.</w:t>
      </w:r>
      <w:r>
        <w:rPr>
          <w:lang w:val="el" w:eastAsia="el"/>
        </w:rPr>
        <w:t xml:space="preserve"> Στις διατάξεις του άρθρου αυτού υπάγονται και οι εγκεκριμένοι αποθηκευτές και οι εγγεγραμμένοι παραλήπτες αγαθών που υπάγονται σε Ειδικό Φόρο Κατανάλωσης (ΕΦΚ). Οι επιτηδευματίες αυτοί, που για την έκπτωση του ΦΠΑ που αναλογεί στις εισροές τους εφαρμόζουν τις ΑΥΟ Δ.634/435/1993 (ΦΕΚ 343 Β’/12.5.1993) και Δ.635/436/1993 (ΦΕΚ 343Β’/12.5.1993), υποβάλλουν και περιοδική δήλωση ΦΠΑ.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Τρόπος υποβολής της περιοδικής δήλωσης ΦΠΑκαι καταβολής του φόρου.</w:t>
      </w:r>
    </w:p>
    <w:p>
      <w:pPr>
        <w:pStyle w:val="MainText"/>
        <w:spacing w:before="120" w:after="0"/>
        <w:rPr>
          <w:lang w:val="el" w:eastAsia="el"/>
        </w:rPr>
      </w:pPr>
      <w:r>
        <w:rPr>
          <w:b/>
          <w:bCs/>
          <w:lang w:val="el" w:eastAsia="el"/>
        </w:rPr>
        <w:t>1.</w:t>
      </w:r>
      <w:r>
        <w:rPr>
          <w:lang w:val="el" w:eastAsia="el"/>
        </w:rPr>
        <w:t xml:space="preserve"> Για φορολογικές περιόδους από 1.1.2012 και εφεξής οι εμπρόθεσμες περιοδικές δηλώσεις υποβάλλονται αποκλειστικά και μόνο με τη χρήση ηλεκτρονικής μεθόδου μέσω του ειδικού δικτύου TAXISnet.</w:t>
      </w:r>
    </w:p>
    <w:p>
      <w:pPr>
        <w:pStyle w:val="MainText"/>
        <w:spacing w:before="120" w:after="0"/>
        <w:rPr>
          <w:lang w:val="el" w:eastAsia="el"/>
        </w:rPr>
      </w:pPr>
      <w:r>
        <w:rPr>
          <w:b/>
          <w:bCs/>
          <w:lang w:val="el" w:eastAsia="el"/>
        </w:rPr>
        <w:t>2.</w:t>
      </w:r>
      <w:r>
        <w:rPr>
          <w:lang w:val="el" w:eastAsia="el"/>
        </w:rPr>
        <w:t xml:space="preserve"> Για φορολογικές περιόδους από 1.1.2011 και εφεξής οι εκπρόθεσμες και τροποποιητικές περιοδικές δηλώσεις υποβάλλονται στην αρμόδια ΔΟΥ σε έντυπη μορφή ή μέσω του ειδικού δικτύου TAXISnet, ενώ οι δηλώσεις αυτές από 1.4.2012 υποβάλλονται αποκλειστικά και μόνο με τη χρήση ηλεκτρονικής μεθόδου μέσω του ειδικού δικτύου TAXISnet.</w:t>
      </w:r>
    </w:p>
    <w:p>
      <w:pPr>
        <w:pStyle w:val="MainText"/>
        <w:spacing w:before="120" w:after="0"/>
        <w:rPr>
          <w:lang w:val="el" w:eastAsia="el"/>
        </w:rPr>
      </w:pPr>
      <w:r>
        <w:rPr>
          <w:b/>
          <w:bCs/>
          <w:lang w:val="el" w:eastAsia="el"/>
        </w:rPr>
        <w:t>3.</w:t>
      </w:r>
      <w:r>
        <w:rPr>
          <w:lang w:val="el" w:eastAsia="el"/>
        </w:rPr>
        <w:t xml:space="preserve"> Για φορολογικές περιόδους μέχρι 31.12.2010 οι εκπρόθεσμες και τροποποιητικές περιοδικές δηλώσεις υποβάλλονται αποκλειστικά και μόνο στην αρμόδια ΔΟΥ σε έντυπη μορφή.</w:t>
      </w:r>
    </w:p>
    <w:p>
      <w:pPr>
        <w:pStyle w:val="MainText"/>
        <w:spacing w:before="120" w:after="0"/>
        <w:rPr>
          <w:lang w:val="el" w:eastAsia="el"/>
        </w:rPr>
      </w:pPr>
      <w:r>
        <w:rPr>
          <w:b/>
          <w:bCs/>
          <w:lang w:val="el" w:eastAsia="el"/>
        </w:rPr>
        <w:t>4.</w:t>
      </w:r>
      <w:r>
        <w:rPr>
          <w:lang w:val="el" w:eastAsia="el"/>
        </w:rPr>
        <w:t xml:space="preserve"> Με την υποβολή της δήλωσης καταβάλλεται στο δημόσιο το σύνολο του χρεωστικού υπολοίπου και των ενδεχόμενων φορολογικών προσαυξήσεων, ή τουλάχιστον το 40% του χρεωστικού υπολοίπου σύμφωνα με τα οριζόμενα στην παρ. 2 του άρθρου 38 του Κώδικα ΦΠΑ στην περίπτωση εμπρόθεσμης περιοδικής δήλωσης. Σε αντίθετη περίπτωση η περιοδική δήλωση θεωρείται ως μη υποβληθείσα και δεν παράγει έννομα αποτελέσματα.</w:t>
      </w:r>
    </w:p>
    <w:p>
      <w:pPr>
        <w:pStyle w:val="MainText"/>
        <w:spacing w:before="120" w:after="0"/>
        <w:rPr>
          <w:lang w:val="el" w:eastAsia="el"/>
        </w:rPr>
      </w:pPr>
      <w:r>
        <w:rPr>
          <w:b/>
          <w:bCs/>
          <w:lang w:val="el" w:eastAsia="el"/>
        </w:rPr>
        <w:t>5.</w:t>
      </w:r>
      <w:r>
        <w:rPr>
          <w:lang w:val="el" w:eastAsia="el"/>
        </w:rPr>
        <w:t xml:space="preserve"> Ο ΦΠΑ που οφείλεται για ενδοκοινοτικές αποκτήσεις ή λήψη αγαθών ή υπηρεσιών που φορολογούνται στο εσωτερικό της χώρας, σύμφωνα με τα άρθρα 13 και 14 του Κώδικα ΦΠΑ, από υποκείμενους στο φόρο οι οποίοι δεν είναι εγκατεστημένοι στο εσωτερικό της χώρας, καταβάλλεται από τον εγκατεστημένο στο εσωτερικό της χώρας υπόχρεο στο φόρο με την περιοδική δήλωση που υποβάλλεται για τη φορολογική περίοδο κατά την οποία ο φόρος καθίσταται απαιτητός, σύμφωνα με τα οριζόμενα στα άρθρα 16 και 18 του Κώδικα ΦΠΑ. Με την ίδια περιοδική δήλωση ασκείται το δικαίωμα έκπτωσης του φόρου, εφόσον και στο βαθμό που παρέχεται τέτοιο δικαίωμα.</w:t>
      </w:r>
    </w:p>
    <w:p>
      <w:pPr>
        <w:pStyle w:val="MainText"/>
        <w:spacing w:before="120" w:after="0"/>
        <w:rPr>
          <w:lang w:val="el" w:eastAsia="el"/>
        </w:rPr>
      </w:pPr>
      <w:r>
        <w:rPr>
          <w:b/>
          <w:bCs/>
          <w:lang w:val="el" w:eastAsia="el"/>
        </w:rPr>
        <w:t>6.</w:t>
      </w:r>
      <w:r>
        <w:rPr>
          <w:lang w:val="el" w:eastAsia="el"/>
        </w:rPr>
        <w:t xml:space="preserve"> Προκειμένου να αναγνωριστεί επιφύλαξη που έχει τεθεί σε περιοδική δήλωση που υποβάλλεται ηλεκτρονικά, απαιτείται η αποστολή στην αρμόδια Δ.Ο.Υ. εγγράφου με συστημένη επιστολή μέχρι την καταληκτική ημερομηνία υποβολής, στο οποίο αναφέρονται οι λόγοι της επιφύλαξης.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υποβολής της περιοδικής δήλωσηςμε ηλεκτρονική μέθοδο μέσω του ειδικού δικτύου</w:t>
      </w:r>
    </w:p>
    <w:p>
      <w:pPr>
        <w:spacing w:before="240" w:after="240"/>
        <w:rPr>
          <w:lang w:val="el" w:eastAsia="el"/>
        </w:rPr>
      </w:pPr>
      <w:r>
        <w:rPr>
          <w:lang w:val="el" w:eastAsia="el"/>
        </w:rPr>
        <w:t>TAXISnet.</w:t>
      </w:r>
    </w:p>
    <w:p>
      <w:pPr>
        <w:pStyle w:val="MainText"/>
        <w:spacing w:before="120" w:after="0"/>
        <w:rPr>
          <w:lang w:val="el" w:eastAsia="el"/>
        </w:rPr>
      </w:pPr>
      <w:r>
        <w:rPr>
          <w:b/>
          <w:bCs/>
          <w:lang w:val="el" w:eastAsia="el"/>
        </w:rPr>
        <w:t>1.</w:t>
      </w:r>
      <w:r>
        <w:rPr>
          <w:lang w:val="el" w:eastAsia="el"/>
        </w:rPr>
        <w:t xml:space="preserve"> Οι υποκείμενοι στο φόρο για να υποβάλλουν ηλεκτρονικά την περιοδική δήλωση ΦΠΑ θα πρέπει να εγγραφούν ως χρήστες των ηλεκτρονικών υπηρεσιών της Γενικής Γραμματείας Πληροφοριακών Συστημάτων του υπουργείου Οικονομικών, σύμφωνα με τους όρους και τις προϋποθέσεις της ΑΥΟ ΠΟΛ 1178/7.12.2010 (ΦΕΚ 1916Β’/9.12.2010).</w:t>
      </w:r>
    </w:p>
    <w:p>
      <w:pPr>
        <w:pStyle w:val="MainText"/>
        <w:spacing w:before="120" w:after="0"/>
        <w:rPr>
          <w:lang w:val="el" w:eastAsia="el"/>
        </w:rPr>
      </w:pPr>
      <w:r>
        <w:rPr>
          <w:b/>
          <w:bCs/>
          <w:lang w:val="el" w:eastAsia="el"/>
        </w:rPr>
        <w:t>2.</w:t>
      </w:r>
      <w:r>
        <w:rPr>
          <w:lang w:val="el" w:eastAsia="el"/>
        </w:rPr>
        <w:t xml:space="preserve"> Για την καταβολή του χρεωστικού υπολοίπου των περιοδικών δηλώσεων που υποβάλλονται μέσω του ειδικού δικτύου TAXISnet, οι υποκείμενοι υποχρεούνται να δώσουν εντολή πληρωμής μέχρι την καταληκτική ημερομηνία υποβολής των εν λόγω δηλώσεων, σε Τράπεζες που έχουν συμβληθεί με το Υπουργείο Οικονομικών για να παρέχουν την υπηρεσία αυτή.</w:t>
      </w:r>
    </w:p>
    <w:p>
      <w:pPr>
        <w:spacing w:before="240" w:after="240"/>
        <w:rPr>
          <w:lang w:val="el" w:eastAsia="el"/>
        </w:rPr>
      </w:pPr>
      <w:r>
        <w:rPr>
          <w:lang w:val="el" w:eastAsia="el"/>
        </w:rPr>
        <w:t>Η εντολή πληρωμής αφορά σε ανάληψη των εν λόγω ποσών από τους οικείους λογαριασμούς ή χρέωση των πιστωτικών καρτών και μεταφορά των ποσών αυτών μέσω του Διατραπεζικού συστήματος στον λογαριασμό του Ελληνικού Δημοσίου.</w:t>
      </w:r>
    </w:p>
    <w:p>
      <w:pPr>
        <w:spacing w:before="240" w:after="240"/>
        <w:rPr>
          <w:lang w:val="el" w:eastAsia="el"/>
        </w:rPr>
      </w:pPr>
      <w:r>
        <w:rPr>
          <w:lang w:val="el" w:eastAsia="el"/>
        </w:rPr>
        <w:t>Μη ύπαρξη επαρκούς υπολοίπου στον τραπεζικό λογαριασμό από τον οποίο πραγματοποιείται η καταβολή του φόρου ή επαρκούς πιστωτικού ορίου στην πιστωτική κάρτα ή εκ παραδρομής λανθασμένη εντολή ανάληψης ή χρέωσης μικρότερου του οφειλομένου ποσού, έχει ως αποτέλεσμα την απόρριψη της δήλωσης που απεστάλη μέσω του ειδικού δικτύου TAXISnet.</w:t>
      </w:r>
    </w:p>
    <w:p>
      <w:pPr>
        <w:pStyle w:val="MainText"/>
        <w:spacing w:before="120" w:after="0"/>
        <w:rPr>
          <w:lang w:val="el" w:eastAsia="el"/>
        </w:rPr>
      </w:pPr>
      <w:r>
        <w:rPr>
          <w:b/>
          <w:bCs/>
          <w:lang w:val="el" w:eastAsia="el"/>
        </w:rPr>
        <w:t>3.</w:t>
      </w:r>
      <w:r>
        <w:rPr>
          <w:lang w:val="el" w:eastAsia="el"/>
        </w:rPr>
        <w:t xml:space="preserve"> Ως ημερομηνία υποβολής θεωρείται η ημερομηνία αποδοχής και επιτυχούς καταχώρησης αυτής στο σύστημα TAXISnet, με αυτόματη απόδοση στον αποστολέα – υποκείμενο μοναδικού αριθμού καταχώρησης της περιοδικής δήλωσης.</w:t>
      </w:r>
    </w:p>
    <w:p>
      <w:pPr>
        <w:spacing w:before="240" w:after="240"/>
        <w:rPr>
          <w:lang w:val="el" w:eastAsia="el"/>
        </w:rPr>
      </w:pPr>
      <w:r>
        <w:rPr>
          <w:lang w:val="el" w:eastAsia="el"/>
        </w:rPr>
        <w:t>Ειδικά στην περίπτωση υποβολής χρεωστικής περιοδικής δήλωσης προκειμένου να θεωρείται η δήλωση αυτή ως υποβληθείσα απαιτείται η επιτυχής ολοκλήρωση της διαδικασίας πληρωμής μέσω Τραπέζης μέχρι την καταληκτική ημερομηνία υποβολής. Ως ημερομηνία υποβολής θεωρείται η ημερομηνία πληρωμής.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Διαχείριση των περιοδικών δηλώσεων που έχουνυποβληθεί ηλεκτρονικά.</w:t>
      </w:r>
    </w:p>
    <w:p>
      <w:pPr>
        <w:spacing w:before="240" w:after="240"/>
        <w:rPr>
          <w:lang w:val="el" w:eastAsia="el"/>
        </w:rPr>
      </w:pPr>
      <w:r>
        <w:rPr>
          <w:lang w:val="el" w:eastAsia="el"/>
        </w:rPr>
        <w:t>Η αρμόδια Δ.Ο.Υ. διαχειρίζεται τις δηλώσεις που παρελήφθησαν μέσω του συστήματος TAXISnet, όπως τις δηλώσεις που παρέλαβε σε έντυπη μορφή μηχανογραφικά μέσω TAXIS ή χειρόγραφα.</w:t>
      </w:r>
    </w:p>
    <w:p>
      <w:pPr>
        <w:spacing w:before="240" w:after="240"/>
        <w:rPr>
          <w:lang w:val="el" w:eastAsia="el"/>
        </w:rPr>
      </w:pPr>
      <w:r>
        <w:rPr>
          <w:lang w:val="el" w:eastAsia="el"/>
        </w:rPr>
        <w:t>Η εκτύπωση των εν λόγω δηλώσεων υπογεγραμμένη από τον Προϊστάμενο της ΔΟΥ πιστοποιεί την υποβολή της δήλωσης και αποτελεί τίτλο εξόφλησης ή πίστωσης για χρήση από οποιαδήποτε αρμόδια αρχή.</w:t>
      </w:r>
    </w:p>
    <w:p>
      <w:pPr>
        <w:spacing w:before="240" w:after="240"/>
        <w:rPr>
          <w:lang w:val="el" w:eastAsia="el"/>
        </w:rPr>
      </w:pPr>
      <w:r>
        <w:rPr>
          <w:lang w:val="el" w:eastAsia="el"/>
        </w:rPr>
        <w:t>Στην περίπτωση που για την ίδια φορολογική περίοδο έχει καταχωρηθεί περιοδική δήλωση μέσω του ειδικού δικτύου TAXISnet και πριν την καταβολή του οφειλόμενου ποσού στο δημόσιο η ίδια δήλωση υποβάλλεται και στη ΔΟΥ, απορρίπτεται η καταχωρηθείσα μέσω TAXISnet δήλωση.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Υποβολή της δήλωσης σε έντυπη μορφή στη ΔΟΥ.</w:t>
      </w:r>
    </w:p>
    <w:p>
      <w:pPr>
        <w:pStyle w:val="MainText"/>
        <w:spacing w:before="120" w:after="0"/>
        <w:rPr>
          <w:lang w:val="el" w:eastAsia="el"/>
        </w:rPr>
      </w:pPr>
      <w:r>
        <w:rPr>
          <w:b/>
          <w:bCs/>
          <w:lang w:val="el" w:eastAsia="el"/>
        </w:rPr>
        <w:t>1.</w:t>
      </w:r>
      <w:r>
        <w:rPr>
          <w:lang w:val="el" w:eastAsia="el"/>
        </w:rPr>
        <w:t xml:space="preserve"> Κατά παρέκκλιση των παραγράφων 1 και 2 του άρθρου 2, η περιοδική δήλωση υποβάλλεται σε έντυπη μορφή στην αρμόδια Δ.Ο.Υ.,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Ζητείται συμψηφισμός του χρεωστικού υπολοίπου, εν όλω ή εν μέρει, με απαιτήσεις κατά του δημοσίου σύμφωνα με το άρθρο 11 του ν. 3943/2011 (ΦΕΚ 66 Α’/31.3.2011).</w:t>
      </w:r>
    </w:p>
    <w:p>
      <w:pPr>
        <w:pStyle w:val="StructureList1"/>
        <w:spacing w:before="120" w:after="0"/>
        <w:rPr>
          <w:lang w:val="el" w:eastAsia="el"/>
        </w:rPr>
      </w:pPr>
      <w:r>
        <w:rPr>
          <w:lang w:val="el" w:eastAsia="el"/>
        </w:rPr>
        <w:t>β)</w:t>
      </w:r>
      <w:r>
        <w:rPr>
          <w:lang w:val="en" w:eastAsia="en"/>
        </w:rPr>
        <w:tab/>
      </w:r>
      <w:r>
        <w:rPr>
          <w:lang w:val="el" w:eastAsia="el"/>
        </w:rPr>
        <w:t>Η περιοδική δήλωση υποβάλλεται από τους κληρονόμους θανόντος υποκείμενου στο φόρο.</w:t>
      </w:r>
    </w:p>
    <w:p>
      <w:pPr>
        <w:pStyle w:val="StructureList1"/>
        <w:spacing w:before="120" w:after="0"/>
        <w:rPr>
          <w:lang w:val="el" w:eastAsia="el"/>
        </w:rPr>
      </w:pPr>
      <w:r>
        <w:rPr>
          <w:lang w:val="el" w:eastAsia="el"/>
        </w:rPr>
        <w:t>γ)</w:t>
      </w:r>
      <w:r>
        <w:rPr>
          <w:lang w:val="en" w:eastAsia="en"/>
        </w:rPr>
        <w:tab/>
      </w:r>
      <w:r>
        <w:rPr>
          <w:lang w:val="el" w:eastAsia="el"/>
        </w:rPr>
        <w:t>Μετά από έγκριση του Προϊσταμένου Δ.Ο.Υ., για υποκείμενους στο φόρο που τηρούν βιβλία Β’ κατηγορίας του ΚΒΣ, εφόσον κρίνεται ότι συντρέχει πραγματική αδυναμία υποβολής της δήλωσης με ηλεκτρονικό τρόπο. Πραγματική αδυναμία υποβολής ενδεικτικά συντρέχει στην περίπτωση υποκειμένων που είναι εγκατεστημένοι σε απομακρυσμένες περιοχές, μεγάλης ηλικίας ή που δεν έχουν εξοικείωση με τη χρήση του διαδικτύου.</w:t>
      </w:r>
    </w:p>
    <w:p>
      <w:pPr>
        <w:pStyle w:val="StructureList1"/>
        <w:spacing w:before="120" w:after="0"/>
        <w:rPr>
          <w:lang w:val="el" w:eastAsia="el"/>
        </w:rPr>
      </w:pPr>
      <w:r>
        <w:rPr>
          <w:lang w:val="el" w:eastAsia="el"/>
        </w:rPr>
        <w:t>δ)</w:t>
      </w:r>
      <w:r>
        <w:rPr>
          <w:lang w:val="en" w:eastAsia="en"/>
        </w:rPr>
        <w:tab/>
      </w:r>
      <w:r>
        <w:rPr>
          <w:lang w:val="el" w:eastAsia="el"/>
        </w:rPr>
        <w:t>Η περιοδική δήλωση υποβάλλεται μέσω του ειδικού δικτύου TAXISnet και δεν είναι δυνατό να τροποποιηθεί πριν την ημερομηνία πληρωμής του χρεωστικού υπολοίπου αυτής, μέσω των τραπεζών. Στην περίπτωση αυτή η περιοδική δήλωση μπορεί να υποβάλλεται εμπρόθεσμα μέχρι τη μεθεπόμενη τοπικά εργάσιμη ημέρα προσκομίζοντας στην αρμόδια Δ.Ο.Υ. το αποδεικτικό υποβολής της αρχικής δήλωσης μέσω του ειδικού δικτύου TAXISnet.</w:t>
      </w:r>
    </w:p>
    <w:p>
      <w:pPr>
        <w:pStyle w:val="StructureList1"/>
        <w:spacing w:before="120" w:after="0"/>
        <w:rPr>
          <w:lang w:val="el" w:eastAsia="el"/>
        </w:rPr>
      </w:pPr>
      <w:r>
        <w:rPr>
          <w:lang w:val="el" w:eastAsia="el"/>
        </w:rPr>
        <w:t>ε)</w:t>
      </w:r>
      <w:r>
        <w:rPr>
          <w:lang w:val="en" w:eastAsia="en"/>
        </w:rPr>
        <w:tab/>
      </w:r>
      <w:r>
        <w:rPr>
          <w:lang w:val="el" w:eastAsia="el"/>
        </w:rPr>
        <w:t>Το ειδικό δίκτυο TAXISnet δεν μπορεί και για όσο χρόνο αυτό δεν είναι δυνατόν, να αναγνωρίσει ως εμπρόθεσμη την περιοδική δήλωση που υποβάλλεται σύμφωνα με την παράγραφο 4 του άρθρου 1. Στην περίπτωση αυτή η περιοδική δήλωση μπορεί να υποβάλλεται εμπρόθεσμα μέχρι τη μεθεπόμενη τοπικά εργάσιμη ημέρα.</w:t>
      </w:r>
    </w:p>
    <w:p>
      <w:pPr>
        <w:pStyle w:val="StructureList1"/>
        <w:spacing w:before="120" w:after="0"/>
        <w:rPr>
          <w:lang w:val="el" w:eastAsia="el"/>
        </w:rPr>
      </w:pPr>
      <w:r>
        <w:rPr>
          <w:lang w:val="el" w:eastAsia="el"/>
        </w:rPr>
        <w:t>στ)</w:t>
      </w:r>
      <w:r>
        <w:rPr>
          <w:lang w:val="en" w:eastAsia="en"/>
        </w:rPr>
        <w:tab/>
      </w:r>
      <w:r>
        <w:rPr>
          <w:lang w:val="el" w:eastAsia="el"/>
        </w:rPr>
        <w:t>Εφόσον την καταληκτική ημερομηνία διαπιστώνεται ότι υπάρχει τεχνική αδυναμία του ειδικού δικτύου TAXISnet να κάνει αποδεκτή την υποβολή των περιοδικών δηλώσεων που αναγνωρίζεται από τη Γενική Γραμματεία Πληροφοριακών Συστημάτων ή υπάρχει τεχνική αδυναμία πληρωμής αυτών μέσω των πιστωτικών ιδρυμάτων και του διατραπεζικού συστήματος ΔΙΑΣ. Στην περίπτωση αυτή και μετά από έγγραφο που αποστέλλεται σε όλες τις Δ.Ο.Υ., η περιοδική δήλωση υποβάλλεται εμπρόθεσμα μέχρι τη μεθεπόμενη τοπικά εργάσιμη ημέρα.</w:t>
      </w:r>
    </w:p>
    <w:p>
      <w:pPr>
        <w:pStyle w:val="StructureList1"/>
        <w:spacing w:before="120" w:after="0"/>
        <w:rPr>
          <w:lang w:val="el" w:eastAsia="el"/>
        </w:rPr>
      </w:pPr>
      <w:r>
        <w:rPr>
          <w:lang w:val="el" w:eastAsia="el"/>
        </w:rPr>
        <w:t>ζ)</w:t>
      </w:r>
      <w:r>
        <w:rPr>
          <w:lang w:val="en" w:eastAsia="en"/>
        </w:rPr>
        <w:tab/>
      </w:r>
      <w:r>
        <w:rPr>
          <w:lang w:val="el" w:eastAsia="el"/>
        </w:rPr>
        <w:t>Εμπρόθεσμης περιοδικής δήλωσης κατά παράταση της προθεσμίας υποβολής της, λόγω τοπικής αργίας ή τοπικά μη εργάσιμης ημέρας.</w:t>
      </w:r>
    </w:p>
    <w:p>
      <w:pPr>
        <w:pStyle w:val="StructureList1"/>
        <w:spacing w:before="120" w:after="0"/>
        <w:rPr>
          <w:lang w:val="el" w:eastAsia="el"/>
        </w:rPr>
      </w:pPr>
      <w:r>
        <w:rPr>
          <w:lang w:val="el" w:eastAsia="el"/>
        </w:rPr>
        <w:t>η)</w:t>
      </w:r>
      <w:r>
        <w:rPr>
          <w:lang w:val="en" w:eastAsia="en"/>
        </w:rPr>
        <w:tab/>
      </w:r>
      <w:r>
        <w:rPr>
          <w:lang w:val="el" w:eastAsia="el"/>
        </w:rPr>
        <w:t>Απόρριψης της περιοδικής δήλωσης που υποβλήθηκε ηλεκτρονικά, λόγω λανθασμένης απόδοσης του χρεωστικού υπολοίπου, εφόσον συντρέχουν αθροιστικά οι εξής προϋποθέσεις:</w:t>
      </w:r>
    </w:p>
    <w:p>
      <w:pPr>
        <w:spacing w:before="240" w:after="240"/>
        <w:rPr>
          <w:lang w:val="el" w:eastAsia="el"/>
        </w:rPr>
      </w:pPr>
      <w:r>
        <w:rPr>
          <w:lang w:val="el" w:eastAsia="el"/>
        </w:rPr>
        <w:t>i. περιοδική δήλωση είχε αρχικά καταχωρηθεί εμπρόθεσμα στο ειδικό δίκτυο TAXISnet,</w:t>
      </w:r>
    </w:p>
    <w:p>
      <w:pPr>
        <w:spacing w:before="240" w:after="240"/>
        <w:rPr>
          <w:lang w:val="el" w:eastAsia="el"/>
        </w:rPr>
      </w:pPr>
      <w:r>
        <w:rPr>
          <w:lang w:val="el" w:eastAsia="el"/>
        </w:rPr>
        <w:t>ii. είχε δοθεί εμπρόθεσμα η ορθή εντολή πληρωμής στην τράπεζα,</w:t>
      </w:r>
    </w:p>
    <w:p>
      <w:pPr>
        <w:spacing w:before="240" w:after="240"/>
        <w:rPr>
          <w:lang w:val="el" w:eastAsia="el"/>
        </w:rPr>
      </w:pPr>
      <w:r>
        <w:rPr>
          <w:lang w:val="el" w:eastAsia="el"/>
        </w:rPr>
        <w:t>iii. υπήρχε τουλάχιστον το ακριβές υπόλοιπο του χρεωστικού υπολοίπου της περιοδικής δήλωσης στον τραπεζικό λογαριασμό από τον οποίο πραγματοποιήθηκε η καταβολή, την ημερομηνία πληρωμής.</w:t>
      </w:r>
    </w:p>
    <w:p>
      <w:pPr>
        <w:spacing w:before="240" w:after="240"/>
        <w:rPr>
          <w:lang w:val="el" w:eastAsia="el"/>
        </w:rPr>
      </w:pPr>
      <w:r>
        <w:rPr>
          <w:lang w:val="el" w:eastAsia="el"/>
        </w:rPr>
        <w:t>Στην περίπτωση αυτή υποβάλλεται εκ νέου η απορριφθείσα περιοδική δήλωση σε έντυπη μορφή στην αρμόδια ΔΟΥ, μέχρι και την πέμπτη (5η) ημέρα του επόμενου μήνα από τη λήξη της καταληκτικής ημερομηνίας υποβολής, συνυποβάλλοντας τα απαραίτητα δικαιολογητικά από τα οποία πρέπει να προκύπτει ότι πληρούνται οι προϋποθέσεις που αναφέρονται ανωτέρω.</w:t>
      </w:r>
    </w:p>
    <w:p>
      <w:pPr>
        <w:spacing w:before="240" w:after="240"/>
        <w:rPr>
          <w:lang w:val="el" w:eastAsia="el"/>
        </w:rPr>
      </w:pPr>
      <w:r>
        <w:rPr>
          <w:lang w:val="el" w:eastAsia="el"/>
        </w:rPr>
        <w:t>Η Γενική Γραμματεία Πληροφοριακών Συστημάτων, μέσω του TAXISnet, ενημερώνει τον υποκείμενο και την αρμόδια ΔΟΥ, με ηλεκτρονική μέθοδο, για την απορριφθείσα δήλωση και το προς καταβολή ποσό.</w:t>
      </w:r>
    </w:p>
    <w:p>
      <w:pPr>
        <w:pStyle w:val="MainText"/>
        <w:spacing w:before="120" w:after="0"/>
        <w:rPr>
          <w:lang w:val="el" w:eastAsia="el"/>
        </w:rPr>
      </w:pPr>
      <w:r>
        <w:rPr>
          <w:b/>
          <w:bCs/>
          <w:lang w:val="el" w:eastAsia="el"/>
        </w:rPr>
        <w:t>2.</w:t>
      </w:r>
      <w:r>
        <w:rPr>
          <w:lang w:val="el" w:eastAsia="el"/>
        </w:rPr>
        <w:t xml:space="preserve"> Για την υποβολή περιοδικής δήλωσης ΦΠΑ σε έντυπη μορφή στις ΔΟΥ χρησιμοποιούνται είτε έντυπα που προεκτυπώνονται με μηχανογραφικά μέσα σύμφωνα με τις διατάξεις της ΑΥΟ ΠΟΛ 1177/1993 (ΦΕΚ 357/Β’/17.5.1993), είτε τα έντυπα που αναρτώνται στις επίσημες ιστοσελίδες του Υπουργείου Οικονομικών τα οποία μπορεί να εκτυπώνονται σε έγχρωμη ή ασπρόμαυρη μορφή.</w:t>
      </w:r>
    </w:p>
    <w:p>
      <w:pPr>
        <w:pStyle w:val="MainText"/>
        <w:spacing w:before="120" w:after="0"/>
        <w:rPr>
          <w:lang w:val="el" w:eastAsia="el"/>
        </w:rPr>
      </w:pPr>
      <w:r>
        <w:rPr>
          <w:b/>
          <w:bCs/>
          <w:lang w:val="el" w:eastAsia="el"/>
        </w:rPr>
        <w:t>3.</w:t>
      </w:r>
      <w:r>
        <w:rPr>
          <w:lang w:val="el" w:eastAsia="el"/>
        </w:rPr>
        <w:t xml:space="preserve"> Στις ανωτέρω περιπτώσεις οι περιοδικές δηλώσεις υποβάλλονται σε τρία αντίτυπα.</w:t>
      </w:r>
    </w:p>
    <w:p>
      <w:pPr>
        <w:pStyle w:val="MainText"/>
        <w:spacing w:before="120" w:after="0"/>
        <w:rPr>
          <w:lang w:val="el" w:eastAsia="el"/>
        </w:rPr>
      </w:pPr>
      <w:r>
        <w:rPr>
          <w:b/>
          <w:bCs/>
          <w:lang w:val="el" w:eastAsia="el"/>
        </w:rPr>
        <w:t>4.</w:t>
      </w:r>
      <w:r>
        <w:rPr>
          <w:lang w:val="el" w:eastAsia="el"/>
        </w:rPr>
        <w:t xml:space="preserve"> Επίσης στις ανωτέρω περιπτώσεις όλα τα στοιχεία των δηλώσεων θα καταχωρούνται υποχρεωτικά από τις ΔΟΥ μέσω της εφαρμογής διαχείρισης δηλώσεων TAXIS.</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Αποδεικτικό υποβολής και καταβολής του φόρου</w:t>
      </w:r>
    </w:p>
    <w:p>
      <w:pPr>
        <w:pStyle w:val="MainText"/>
        <w:spacing w:before="120" w:after="0"/>
        <w:rPr>
          <w:lang w:val="el" w:eastAsia="el"/>
        </w:rPr>
      </w:pPr>
      <w:r>
        <w:rPr>
          <w:b/>
          <w:bCs/>
          <w:lang w:val="el" w:eastAsia="el"/>
        </w:rPr>
        <w:t>1.</w:t>
      </w:r>
      <w:r>
        <w:rPr>
          <w:lang w:val="el" w:eastAsia="el"/>
        </w:rPr>
        <w:t xml:space="preserve"> Στην περίπτωση υποβολής περιοδικής δήλωσης σε έντυπη μορφή στη ΔΟΥ, για την οποία δεν προκύπτει ποσό για καταβολή, αποδεικτικό υποβολής αυτής αποτελεί το αντίτυπο με υπογραφή παραλαβής.</w:t>
      </w:r>
    </w:p>
    <w:p>
      <w:pPr>
        <w:pStyle w:val="MainText"/>
        <w:spacing w:before="120" w:after="0"/>
        <w:rPr>
          <w:lang w:val="el" w:eastAsia="el"/>
        </w:rPr>
      </w:pPr>
      <w:r>
        <w:rPr>
          <w:b/>
          <w:bCs/>
          <w:lang w:val="el" w:eastAsia="el"/>
        </w:rPr>
        <w:t>2.</w:t>
      </w:r>
      <w:r>
        <w:rPr>
          <w:lang w:val="el" w:eastAsia="el"/>
        </w:rPr>
        <w:t xml:space="preserve"> Όταν προκύπτει ποσό για καταβολή, αποδεικτικό καταβολής του φόρου αποτελεί:</w:t>
      </w:r>
    </w:p>
    <w:p>
      <w:pPr>
        <w:pStyle w:val="StructureList1"/>
        <w:spacing w:before="120" w:after="0"/>
        <w:rPr>
          <w:lang w:val="el" w:eastAsia="el"/>
        </w:rPr>
      </w:pPr>
      <w:r>
        <w:rPr>
          <w:lang w:val="el" w:eastAsia="el"/>
        </w:rPr>
        <w:t>α)</w:t>
      </w:r>
      <w:r>
        <w:rPr>
          <w:lang w:val="en" w:eastAsia="en"/>
        </w:rPr>
        <w:tab/>
      </w:r>
      <w:r>
        <w:rPr>
          <w:lang w:val="el" w:eastAsia="el"/>
        </w:rPr>
        <w:t>Η ίδια η περιοδική δήλωση, εάν δεν εκδίδεται μηχανογραφικά ιδιαίτερο αποδεικτικό είσπραξης και εφόσον φέρει την υπογραφή του παραλαβόντος υπαλλήλου και του Ταμία (ο οποίος θέτει την υπηρεσιακή και ατομική του σφραγίδα), ή</w:t>
      </w:r>
    </w:p>
    <w:p>
      <w:pPr>
        <w:pStyle w:val="StructureList1"/>
        <w:spacing w:before="120" w:after="0"/>
        <w:rPr>
          <w:lang w:val="el" w:eastAsia="el"/>
        </w:rPr>
      </w:pPr>
      <w:r>
        <w:rPr>
          <w:lang w:val="el" w:eastAsia="el"/>
        </w:rPr>
        <w:t>β)</w:t>
      </w:r>
      <w:r>
        <w:rPr>
          <w:lang w:val="en" w:eastAsia="en"/>
        </w:rPr>
        <w:tab/>
      </w:r>
      <w:r>
        <w:rPr>
          <w:lang w:val="el" w:eastAsia="el"/>
        </w:rPr>
        <w:t>Το ιδιαίτερο αποδεικτικό είσπραξης, εφόσον εκδίδεται μηχανογραφικά (μέσω του συστήματος TAXIS) και φέρει την υπογραφή του εκδότη και του Ταμία.</w:t>
      </w:r>
    </w:p>
    <w:p>
      <w:pPr>
        <w:pStyle w:val="MainText"/>
        <w:spacing w:before="120" w:after="0"/>
        <w:rPr>
          <w:lang w:val="el" w:eastAsia="el"/>
        </w:rPr>
      </w:pPr>
      <w:r>
        <w:rPr>
          <w:b/>
          <w:bCs/>
          <w:lang w:val="el" w:eastAsia="el"/>
        </w:rPr>
        <w:t>3.</w:t>
      </w:r>
      <w:r>
        <w:rPr>
          <w:lang w:val="el" w:eastAsia="el"/>
        </w:rPr>
        <w:t xml:space="preserve"> Στην περίπτωση ηλεκτρονικής υποβολής της περιοδικής δήλωσης μέσω του ειδικού δικτύου TAXISnet, απόδειξη για την υποβολή αποτελεί η εμφάνιση στην οθόνη της δήλωσης συσχετισμένης με το μοναδικό αριθμό καταχώρησης TAXIS και την ημερομηνία υποβολής της και αντίγραφο υποβολής αποτελεί η εκτύπωση αυτών μέσω του ειδικού δικτύου TAXISnet.</w:t>
      </w:r>
    </w:p>
    <w:p>
      <w:pPr>
        <w:spacing w:before="240" w:after="240"/>
        <w:rPr>
          <w:lang w:val="el" w:eastAsia="el"/>
        </w:rPr>
      </w:pPr>
      <w:r>
        <w:rPr>
          <w:lang w:val="el" w:eastAsia="el"/>
        </w:rPr>
        <w:t>Στην περίπτωση που υπάρχει ποσό για καταβολή, η επιτυχής ολοκλήρωση της διαδικασίας πληρωμής αποδεικνύεται από σχετική αναφορά που διατίθεται μέσω του ειδικού δικτύου TAXISnet, η εκτύπωση της οποίας αποτελεί για τον υποκείμενο το αποδεικτικό καταβολής.</w:t>
      </w:r>
    </w:p>
    <w:p>
      <w:pPr>
        <w:pStyle w:val="MainText"/>
        <w:spacing w:before="120" w:after="0"/>
        <w:rPr>
          <w:lang w:val="el" w:eastAsia="el"/>
        </w:rPr>
      </w:pPr>
      <w:r>
        <w:rPr>
          <w:b/>
          <w:bCs/>
          <w:lang w:val="el" w:eastAsia="el"/>
        </w:rPr>
        <w:t>4.</w:t>
      </w:r>
      <w:r>
        <w:rPr>
          <w:lang w:val="el" w:eastAsia="el"/>
        </w:rPr>
        <w:t xml:space="preserve"> Η απόδειξη καταβολής του φόρου, μπορεί να αναπληρωθεί μόνο κατά τα οριζόμενα στο άρθρο 76 του Π.Δ. 16/89 (ΦΕΚ 6 Α’/5.1.1989).</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Αφετηρία για την επιβολή του προστίμου και τονυπολογισμό του πρόσθετου φόρου</w:t>
      </w:r>
    </w:p>
    <w:p>
      <w:pPr>
        <w:pStyle w:val="MainText"/>
        <w:spacing w:before="120" w:after="0"/>
        <w:rPr>
          <w:lang w:val="el" w:eastAsia="el"/>
        </w:rPr>
      </w:pPr>
      <w:r>
        <w:rPr>
          <w:b/>
          <w:bCs/>
          <w:lang w:val="el" w:eastAsia="el"/>
        </w:rPr>
        <w:t>1.</w:t>
      </w:r>
      <w:r>
        <w:rPr>
          <w:lang w:val="el" w:eastAsia="el"/>
        </w:rPr>
        <w:t xml:space="preserve"> Ως αφετηρία για το χρόνο επιβολής του προστίμου στην περίπτωση της εκπρόθεσμης υποβολής ή μη υποβολής αρχικών δηλώσεων, για τις οποίες υπάρχει σχετική υποχρέωση και δεν προκύπτει ποσό φόρου για καταβολή, σύμφωνα με τα οριζόμενα στην παράγραφο 1 του άρθρου 4 του ν. 2523/1997 (ΦΕΚ 179 Α’/11.9.1997) όπως ισχύει, λαμβάνεται η επόμενη ημέρα της καταληκτικής προθεσμίας για την εμπρόθεσμη υποβολή της δήλωσης.</w:t>
      </w:r>
    </w:p>
    <w:p>
      <w:pPr>
        <w:pStyle w:val="MainText"/>
        <w:spacing w:before="120" w:after="0"/>
        <w:rPr>
          <w:lang w:val="el" w:eastAsia="el"/>
        </w:rPr>
      </w:pPr>
      <w:r>
        <w:rPr>
          <w:b/>
          <w:bCs/>
          <w:lang w:val="el" w:eastAsia="el"/>
        </w:rPr>
        <w:t>2.</w:t>
      </w:r>
      <w:r>
        <w:rPr>
          <w:lang w:val="el" w:eastAsia="el"/>
        </w:rPr>
        <w:t xml:space="preserve"> Ως αφετηρία για τον υπολογισμό του πρόσθετου φόρου στην περίπτωση εκπρόθεσμης, ανακριβούς ή μη υποβολής περιοδικής δήλωσης, για τις οποίες προκύπτει ποσό φόρου για καταβολή, λαμβάνεται η επόμενη ημέρα της καταληκτικής προθεσμίας για την εμπρόθεσμη υποβολή της δήλωσης.</w:t>
      </w:r>
    </w:p>
    <w:p>
      <w:pPr>
        <w:pStyle w:val="MainText"/>
        <w:spacing w:before="120" w:after="0"/>
        <w:rPr>
          <w:lang w:val="el" w:eastAsia="el"/>
        </w:rPr>
      </w:pPr>
      <w:r>
        <w:rPr>
          <w:b/>
          <w:bCs/>
          <w:lang w:val="el" w:eastAsia="el"/>
        </w:rPr>
        <w:t>3.</w:t>
      </w:r>
      <w:r>
        <w:rPr>
          <w:lang w:val="el" w:eastAsia="el"/>
        </w:rPr>
        <w:t xml:space="preserve"> Η προθεσμία κατά παράταση υποβολής εμπρόθεσμης περιοδικής δήλωσης, για οποιοδήποτε λόγο, δεν ισχύει για τις εκπρόθεσμες περιοδικές δηλώσεις, για τις οποίες λαμβάνεται υπόψη η αρχική προθεσμία υποβολής όπως καθορίζεται στην παράγραφο 1 του άρθρου 1, προκειμένου να υπολογιστεί ο πρόσθετος φόρος ανάλογα με τους μήνες καθυστέρησης, ανεξάρτητα από τις συμπίπτουσες αργίες.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Δυνατότητα υποβολής της τροποποιητικήςκαι εκπρόθεσμης εκκαθαριστικής δήλωσηςκαι των διορθωτικών και εκπρόθεσμωνανακεφαλαιωτικών πινάκων,μέσω του ειδικού δικτύου TAXISnet.</w:t>
      </w:r>
    </w:p>
    <w:p>
      <w:pPr>
        <w:spacing w:before="240" w:after="240"/>
        <w:rPr>
          <w:lang w:val="el" w:eastAsia="el"/>
        </w:rPr>
      </w:pPr>
      <w:r>
        <w:rPr>
          <w:lang w:val="el" w:eastAsia="el"/>
        </w:rPr>
        <w:t>Οι υπόχρεοι στο φόρο μπορούν, από 23.12.2011, να υποβάλλουν μέσω του ειδικού δικτύου TAXISnet:</w:t>
      </w:r>
    </w:p>
    <w:p>
      <w:pPr>
        <w:pStyle w:val="StructureList1"/>
        <w:spacing w:before="120" w:after="0"/>
        <w:rPr>
          <w:lang w:val="el" w:eastAsia="el"/>
        </w:rPr>
      </w:pPr>
      <w:r>
        <w:rPr>
          <w:lang w:val="el" w:eastAsia="el"/>
        </w:rPr>
        <w:t>α)</w:t>
      </w:r>
      <w:r>
        <w:rPr>
          <w:lang w:val="en" w:eastAsia="en"/>
        </w:rPr>
        <w:tab/>
      </w:r>
      <w:r>
        <w:rPr>
          <w:lang w:val="el" w:eastAsia="el"/>
        </w:rPr>
        <w:t>Τις τροποποιητικές και εκπρόθεσμες εκκαθαριστικές δηλώσεις που αφορούν διαχειριστικές περιόδους που λήγουν από 1.1.2010 και εφεξής.</w:t>
      </w:r>
    </w:p>
    <w:p>
      <w:pPr>
        <w:pStyle w:val="StructureList1"/>
        <w:spacing w:before="120" w:after="0"/>
        <w:rPr>
          <w:lang w:val="el" w:eastAsia="el"/>
        </w:rPr>
      </w:pPr>
      <w:r>
        <w:rPr>
          <w:lang w:val="el" w:eastAsia="el"/>
        </w:rPr>
        <w:t>β)</w:t>
      </w:r>
      <w:r>
        <w:rPr>
          <w:lang w:val="en" w:eastAsia="en"/>
        </w:rPr>
        <w:tab/>
      </w:r>
      <w:r>
        <w:rPr>
          <w:lang w:val="el" w:eastAsia="el"/>
        </w:rPr>
        <w:t>Τους διορθωτικούς ανακεφαλαιωτικούς πίνακες που αφορούν ημερολογιακές περιόδους από 1.1.2010 και εφεξής και τους εκπρόθεσμους ανακεφαλαιωτικούς πίνακες που αφορούν ημερολογιακές περιόδους από 1.1.2011 και εφ’ εξής.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Κατάργηση διατάξεων</w:t>
      </w:r>
    </w:p>
    <w:p>
      <w:pPr>
        <w:spacing w:before="240" w:after="240"/>
        <w:rPr>
          <w:lang w:val="el" w:eastAsia="el"/>
        </w:rPr>
      </w:pPr>
      <w:r>
        <w:rPr>
          <w:lang w:val="el" w:eastAsia="el"/>
        </w:rPr>
        <w:t>Από 1.1.2012 καταργούνται:</w:t>
      </w:r>
    </w:p>
    <w:p>
      <w:pPr>
        <w:pStyle w:val="StructureList1"/>
        <w:spacing w:before="120" w:after="0"/>
        <w:rPr>
          <w:lang w:val="el" w:eastAsia="el"/>
        </w:rPr>
      </w:pPr>
      <w:r>
        <w:rPr>
          <w:lang w:val="el" w:eastAsia="el"/>
        </w:rPr>
        <w:t>α)</w:t>
      </w:r>
      <w:r>
        <w:rPr>
          <w:lang w:val="en" w:eastAsia="en"/>
        </w:rPr>
        <w:tab/>
      </w:r>
      <w:r>
        <w:rPr>
          <w:lang w:val="el" w:eastAsia="el"/>
        </w:rPr>
        <w:t>Tο άρθρο 1 της ΑΥΟ ΠΟΛ 1005/1993.</w:t>
      </w:r>
    </w:p>
    <w:p>
      <w:pPr>
        <w:pStyle w:val="StructureList1"/>
        <w:spacing w:before="120" w:after="0"/>
        <w:rPr>
          <w:lang w:val="el" w:eastAsia="el"/>
        </w:rPr>
      </w:pPr>
      <w:r>
        <w:rPr>
          <w:lang w:val="el" w:eastAsia="el"/>
        </w:rPr>
        <w:t>β)</w:t>
      </w:r>
      <w:r>
        <w:rPr>
          <w:lang w:val="en" w:eastAsia="en"/>
        </w:rPr>
        <w:tab/>
      </w:r>
      <w:r>
        <w:rPr>
          <w:lang w:val="el" w:eastAsia="el"/>
        </w:rPr>
        <w:t>Η ΑΥΟ ΠΟΛ 1214/1994.</w:t>
      </w:r>
    </w:p>
    <w:p>
      <w:pPr>
        <w:pStyle w:val="StructureList1"/>
        <w:spacing w:before="120" w:after="0"/>
        <w:rPr>
          <w:lang w:val="el" w:eastAsia="el"/>
        </w:rPr>
      </w:pPr>
      <w:r>
        <w:rPr>
          <w:lang w:val="el" w:eastAsia="el"/>
        </w:rPr>
        <w:t>γ)</w:t>
      </w:r>
      <w:r>
        <w:rPr>
          <w:lang w:val="en" w:eastAsia="en"/>
        </w:rPr>
        <w:tab/>
      </w:r>
      <w:r>
        <w:rPr>
          <w:lang w:val="el" w:eastAsia="el"/>
        </w:rPr>
        <w:t>Η ΑΥΟ ΠΟΛ 1055/2001.</w:t>
      </w:r>
    </w:p>
    <w:p>
      <w:pPr>
        <w:pStyle w:val="StructureList1"/>
        <w:spacing w:before="120" w:after="0"/>
        <w:rPr>
          <w:lang w:val="el" w:eastAsia="el"/>
        </w:rPr>
      </w:pPr>
      <w:r>
        <w:rPr>
          <w:lang w:val="el" w:eastAsia="el"/>
        </w:rPr>
        <w:t>δ)</w:t>
      </w:r>
      <w:r>
        <w:rPr>
          <w:lang w:val="en" w:eastAsia="en"/>
        </w:rPr>
        <w:tab/>
      </w:r>
      <w:r>
        <w:rPr>
          <w:lang w:val="el" w:eastAsia="el"/>
        </w:rPr>
        <w:t>Η ΑΥΟ ΠΟΛ 1257/2001.</w:t>
      </w:r>
    </w:p>
    <w:p>
      <w:pPr>
        <w:pStyle w:val="StructureList1"/>
        <w:spacing w:before="120" w:after="0"/>
        <w:rPr>
          <w:lang w:val="el" w:eastAsia="el"/>
        </w:rPr>
      </w:pPr>
      <w:r>
        <w:rPr>
          <w:lang w:val="el" w:eastAsia="el"/>
        </w:rPr>
        <w:t>ε)</w:t>
      </w:r>
      <w:r>
        <w:rPr>
          <w:lang w:val="en" w:eastAsia="en"/>
        </w:rPr>
        <w:tab/>
      </w:r>
      <w:r>
        <w:rPr>
          <w:lang w:val="el" w:eastAsia="el"/>
        </w:rPr>
        <w:t>Tα άρθρα 1, 2, η περίπτωση ΙΙ α’ της παραγράφου 2 του άρθρου 3, το άρθρο 4 εκτός της παραγράφου 4, καθώς και τα άρθρα 5 έως και 7 της ΑΥΟ ΠΟΛ 1019/2003.</w:t>
      </w:r>
    </w:p>
    <w:p>
      <w:pPr>
        <w:pStyle w:val="StructureList1"/>
        <w:spacing w:before="120" w:after="0"/>
        <w:rPr>
          <w:lang w:val="el" w:eastAsia="el"/>
        </w:rPr>
      </w:pPr>
      <w:r>
        <w:rPr>
          <w:lang w:val="el" w:eastAsia="el"/>
        </w:rPr>
        <w:t>στ)</w:t>
      </w:r>
      <w:r>
        <w:rPr>
          <w:lang w:val="en" w:eastAsia="en"/>
        </w:rPr>
        <w:tab/>
      </w:r>
      <w:r>
        <w:rPr>
          <w:lang w:val="el" w:eastAsia="el"/>
        </w:rPr>
        <w:t>Η ΑΥΟ ΠΟΛ 1003/2004.</w:t>
      </w:r>
    </w:p>
    <w:p>
      <w:pPr>
        <w:pStyle w:val="StructureList1"/>
        <w:spacing w:before="120" w:after="0"/>
        <w:rPr>
          <w:lang w:val="el" w:eastAsia="el"/>
        </w:rPr>
      </w:pPr>
      <w:r>
        <w:rPr>
          <w:lang w:val="el" w:eastAsia="el"/>
        </w:rPr>
        <w:t>ζ)</w:t>
      </w:r>
      <w:r>
        <w:rPr>
          <w:lang w:val="en" w:eastAsia="en"/>
        </w:rPr>
        <w:tab/>
      </w:r>
      <w:r>
        <w:rPr>
          <w:lang w:val="el" w:eastAsia="el"/>
        </w:rPr>
        <w:t>Η ΑΥΟ ΠΟΛ 1063/2004.</w:t>
      </w:r>
    </w:p>
    <w:p>
      <w:pPr>
        <w:pStyle w:val="StructureList1"/>
        <w:spacing w:before="120" w:after="0"/>
        <w:rPr>
          <w:lang w:val="el" w:eastAsia="el"/>
        </w:rPr>
      </w:pPr>
      <w:r>
        <w:rPr>
          <w:lang w:val="el" w:eastAsia="el"/>
        </w:rPr>
        <w:t>η)</w:t>
      </w:r>
      <w:r>
        <w:rPr>
          <w:lang w:val="en" w:eastAsia="en"/>
        </w:rPr>
        <w:tab/>
      </w:r>
      <w:r>
        <w:rPr>
          <w:lang w:val="el" w:eastAsia="el"/>
        </w:rPr>
        <w:t>Η ΑΥΟ ΠΟΛ 1060/2006.</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Έναρξης ισχύος</w:t>
      </w:r>
    </w:p>
    <w:p>
      <w:pPr>
        <w:spacing w:before="240" w:after="240"/>
        <w:rPr>
          <w:lang w:val="el" w:eastAsia="el"/>
        </w:rPr>
      </w:pPr>
      <w:r>
        <w:rPr>
          <w:lang w:val="el" w:eastAsia="el"/>
        </w:rPr>
        <w:t>Η απόφαση αυτή απόφαση να δημοσιευθεί στην Εφημερίδα της Κυβερνήσεως και ισχύει από 1.1.2012. Ειδικά οι εκπρόθεσμες και τροποποιητικές περιοδικές δηλώσεις μπορούν να υποβάλλονται μέσω TAXISnet από 23.12.2011.</w:t>
      </w:r>
    </w:p>
    <w:p>
      <w:pPr>
        <w:spacing w:before="240" w:after="240"/>
        <w:rPr>
          <w:lang w:val="el" w:eastAsia="el"/>
        </w:rPr>
      </w:pPr>
      <w:r>
        <w:rPr>
          <w:lang w:val="el" w:eastAsia="el"/>
        </w:rPr>
        <w:t>Αθήνα, 30 Δεκεμβρίου 2011</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ΠΑΝΤΕΛΗΣΟΙΚΟΝΟΜΟΥ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