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Δ19Α 5003404 Εξ 2012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Τροποποίηση της υπ’ αριθμ. Τ.636/5020/0019/21-12-89</w:t>
      </w:r>
      <w:r>
        <w:rPr>
          <w:lang w:val="el" w:eastAsia="el"/>
        </w:rPr>
        <w:br/>
      </w:r>
      <w:r>
        <w:rPr>
          <w:lang w:val="el" w:eastAsia="el"/>
        </w:rPr>
        <w:t>ΑΥΟ (ΦΕΚ 918/Β’/28-12-89).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Ο ΑΝΑΠΛΗΡΩΤΗΣ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Τη διάταξη της παραγράφου 3 του άρθρου 2 του Ν. 2960/01 «Εθνικός Τελωνειακός Κώδικας» (ΦΕΚ 265/ Α’/2001), σύμφωνα με την οποία «με απόφαση του Υπουργού Οικονομικών καθορίζεται η καθ’ ύλην και κατά τόπον αρμοδιότητα των Τελωνειακών Αρχών».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ΑΥΟ Τ.636/5020/0019/21-12-89 (ΦΕΚ 918/Β’/28-12-89) «Αρμοδιότητες Τελωνειακών Αρχών του Κράτους» όπως τροποποιήθηκε και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υπ’ αριθμ. Δ6Β1168860/ΕΞ 2011/6-12-2011 απόφαση του Υπουργού Οικονομικών περί αναστολής λειτουργίας, επαναλειτουργία και ανακαθορισμό τίτλου και αρμοδιοτήτων οργανικών μονάδων της Γενικής Διεύθυνσης Τελωνείων και Ε.Φ.Κ. (ΦΕΚ 3034/Β/30-12-2011).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Υ25/6-12-2011 (ΦΕΚ 2792/Β’) απόφαση του Πρωθυπουργού περί καθορισμού αρμοδιοτήτων των αναπληρωτών Υπουργών Οικονομικών Φίλιππου Σαχινίδη και Παντελή Οικονόμου.)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την απόφαση αυτή δεν προκαλείται δαπάνη σε βάρος του Κρατικού Προϋπολογισμού αποφασίζουμε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Στο άρθρο 1, Κεφάλαιο Α Τελωνεία Α τάξης της αριθμ. Τ.636/5020/0019/21-12- 89 ΑΥΟ προστίθεται παράγραφος Γ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«Το Τελωνείο Αστακού έχει όλες τις αρμοδιότητες των Τελωνείων Α τάξης κατά τα οριζόμενα ανωτέρω».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Στο άρθρο 3, τίτλος III Αρμοδιότητες λοιπών Τελωνείων Β’ τάξης, Κεφάλαιο Δ Ειδικές Αρμοδιότητες περίπτωση α) της αριθμ. Τ.636/5020/0019/21-12-89 ΑΥΟ προστίθεται και το Τελωνείο Κυλλήνης.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απόφασης αυτής αρχίζει από την 1/2/2012.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Ιανουαρίου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