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Δ18Α 5010086 ΕΞ2012</w:t>
      </w:r>
    </w:p>
    <w:p>
      <w:pPr>
        <w:pStyle w:val="PreambelText"/>
        <w:spacing w:before="240" w:after="240"/>
        <w:rPr>
          <w:lang w:val="el" w:eastAsia="el"/>
        </w:rPr>
      </w:pPr>
      <w:r>
        <w:rPr>
          <w:lang w:val="el" w:eastAsia="el"/>
        </w:rPr>
        <w:t>Διαδικασία παραλαβής καυσίμων κινητήρων από την Πρεσβεία των ΗΠΑ για την κίνηση των αυτοκινήτων οχημάτων της.</w:t>
      </w:r>
    </w:p>
    <w:p>
      <w:pPr>
        <w:pStyle w:val="enacting"/>
        <w:spacing w:before="120" w:after="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68 παράγραφος 1α) του Ν. 2960/01 «Εθνικός Τελωνειακός Κώδικας» (ΦΕΚ 265/Α’),</w:t>
      </w:r>
    </w:p>
    <w:p>
      <w:pPr>
        <w:pStyle w:val="PreambelText"/>
        <w:spacing w:before="240" w:after="240"/>
        <w:rPr>
          <w:lang w:val="el" w:eastAsia="el"/>
        </w:rPr>
      </w:pPr>
      <w:r>
        <w:rPr>
          <w:lang w:val="el" w:eastAsia="el"/>
        </w:rPr>
        <w:t>όπως ισχύουν, με τις οποίες έχουν ενσωματωθεί στην εθνική νομοθεσία οι διατάξεις του άρθρου 12 παράγραφος 1α) της Οδηγίας 2008/118/ΕΚ σχετικά με το γενικό καθεστώς των ειδικών φόρων κατανάλωσης και για την κατάργηση της Οδηγίας 92/12/ΕΟΚ, καθώς και τις διατάξεις της παραγράφου 4 του ιδίου άρθρου και νόμου.</w:t>
      </w:r>
    </w:p>
    <w:p>
      <w:pPr>
        <w:pStyle w:val="PreambelText"/>
        <w:spacing w:before="240" w:after="240"/>
        <w:rPr>
          <w:lang w:val="el" w:eastAsia="el"/>
        </w:rPr>
      </w:pPr>
      <w:r>
        <w:rPr>
          <w:lang w:val="el" w:eastAsia="el"/>
        </w:rPr>
        <w:t>2. Τις διατάξεις του άρθρου 36 παράγραφος 1 του Ν.Δ. 503/70 «Περί κυρώσεως της υπογραφείσης εν Βιέννη την 18ην Απριλίου 1961 υπό την αιγίδα του Οργανισμού των Ηνωμένων Εθνών Συμβάσεως περί των διπλωματικών σχέσεων» (ΦΕΚ 108/Α’).</w:t>
      </w:r>
    </w:p>
    <w:p>
      <w:pPr>
        <w:pStyle w:val="PreambelText"/>
        <w:spacing w:before="240" w:after="240"/>
        <w:rPr>
          <w:lang w:val="el" w:eastAsia="el"/>
        </w:rPr>
      </w:pPr>
      <w:r>
        <w:rPr>
          <w:lang w:val="el" w:eastAsia="el"/>
        </w:rPr>
        <w:t>3. Την αριθμ. Δ18Α 5010879 ΕΞ2011/9-3-2011 ΑΥΟ «Προϋποθέσεις, δικαιολογητικά και διαδικασία παραλαβής καυσίμων κινητήρων από τις ξένες διπλωματικές αποστολές και προξενικές αρχές καθώς και τους αναγνωρισμένους διεθνείς οργανισμούς με απαλλαγή από τον ειδικό φόρο κατανάλωσης από ελεύθερα αποθέματα (φορολογημένα)με συμψηφισμό για την κάλυψη των αναγκών κίνησης των αυτοκινήτων οχημάτων τους (ΦΕΚ 729/Β’).</w:t>
      </w:r>
    </w:p>
    <w:p>
      <w:pPr>
        <w:pStyle w:val="PreambelText"/>
        <w:spacing w:before="240" w:after="240"/>
        <w:rPr>
          <w:lang w:val="el" w:eastAsia="el"/>
        </w:rPr>
      </w:pPr>
      <w:r>
        <w:rPr>
          <w:lang w:val="el" w:eastAsia="el"/>
        </w:rPr>
        <w:t>4. Την αριθμ. Δ. 789/73/1-6-2000 ΑΥΟ «Ατελής παραλαβή καυσίμων για τις ανάγκες των αυτοκινήτων της Αμερικανικής Αποστολής στην Ελλάδα» (ΦΕΚ 821/Β’).</w:t>
      </w:r>
    </w:p>
    <w:p>
      <w:pPr>
        <w:pStyle w:val="PreambelText"/>
        <w:spacing w:before="240" w:after="240"/>
        <w:rPr>
          <w:lang w:val="el" w:eastAsia="el"/>
        </w:rPr>
      </w:pPr>
      <w:r>
        <w:rPr>
          <w:lang w:val="el" w:eastAsia="el"/>
        </w:rPr>
        <w:t>5. Το άρθρο 22 της αριθμ. Τ. 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w:t>
      </w:r>
    </w:p>
    <w:p>
      <w:pPr>
        <w:pStyle w:val="PreambelText"/>
        <w:spacing w:before="240" w:after="240"/>
        <w:rPr>
          <w:lang w:val="el" w:eastAsia="el"/>
        </w:rPr>
      </w:pPr>
      <w:r>
        <w:rPr>
          <w:lang w:val="el" w:eastAsia="el"/>
        </w:rPr>
        <w:t>6. Την αριθμ. 205513/29-9-2011 απόφαση Αντιπεριφερειάρχη Αττικής «Άδεια λειτουργίας πρατηρίου υγρών καυσίμων ιδιωτικής χρήσης».</w:t>
      </w:r>
    </w:p>
    <w:p>
      <w:pPr>
        <w:pStyle w:val="PreambelText"/>
        <w:spacing w:before="240" w:after="240"/>
        <w:rPr>
          <w:lang w:val="el" w:eastAsia="el"/>
        </w:rPr>
      </w:pPr>
      <w:r>
        <w:rPr>
          <w:lang w:val="el" w:eastAsia="el"/>
        </w:rPr>
        <w:t>7. Την αριθμ. 3309/11/15-4-2011 απόφαση Περιφερειάρχη Αττικής «Απόφαση Έγκρισης Περιβαλλοντικών Όρων του ιδιωτικού πρατηρίου υγρών καυσίμων της Αμερικανικής Πρεσβείας, Λεωφόρος Βασιλίσσης Σοφίας 91, Αθήνα».</w:t>
      </w:r>
    </w:p>
    <w:p>
      <w:pPr>
        <w:pStyle w:val="PreambelText"/>
        <w:spacing w:before="240" w:after="240"/>
        <w:rPr>
          <w:lang w:val="el" w:eastAsia="el"/>
        </w:rPr>
      </w:pPr>
      <w:r>
        <w:rPr>
          <w:lang w:val="el" w:eastAsia="el"/>
        </w:rPr>
        <w:t>8.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 Θράκης και της Γενικής Γραμματείας Αιγαίου και Νησιωτικής Πολιτικής» (ΦΕΚ 213/Α’), καθώς και το ΠΔ 189/2009 «Καθορισμός και ανακατανομή αρμοδιοτήτων των Υπουργείων» (ΦΕΚ 221/Α’).</w:t>
      </w:r>
    </w:p>
    <w:p>
      <w:pPr>
        <w:pStyle w:val="PreambelText"/>
        <w:spacing w:before="240" w:after="240"/>
        <w:rPr>
          <w:lang w:val="el" w:eastAsia="el"/>
        </w:rPr>
      </w:pPr>
      <w:r>
        <w:rPr>
          <w:lang w:val="el" w:eastAsia="el"/>
        </w:rPr>
        <w:t>9. Τις διατάξεις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10. Την αριθμ. Υ. 25/6/12/2011 (ΦΕΚ 2792/Β’/8-12-2011) απόφαση του Πρωθυπουργού περί καθορισμού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11. Ότι με τις διατάξεις της παρούσας δεν προκαλείται δαπάνη σε βάρος του κρατικού προϋπολογισμού, δεδομένου ότι θεσπίζεται διαδικασία για την εφαρμογή διατάξεων του ν. 2960/01, αποφασίζουμε:</w:t>
      </w:r>
    </w:p>
    <w:p>
      <w:pPr>
        <w:pStyle w:val="PreambelText"/>
        <w:spacing w:before="240" w:after="240"/>
        <w:rPr>
          <w:lang w:val="el" w:eastAsia="el"/>
        </w:rPr>
      </w:pPr>
      <w:r>
        <w:rPr>
          <w:lang w:val="el" w:eastAsia="el"/>
        </w:rPr>
        <w:t>Καθορίζεται διαδικασία παραλαβής καυσίμων κινητήρων από την Πρεσβεία των Η.Π.Α. με απαλλαγή από τον ειδικό φόρο κατανάλωσης (ΕΦΚ) για την κάλυψη των αναγκών κίνησης των αυτοκινήτων οχημάτων της καθώς και αυτών του διπλωματικού και διοικητικού προσωπικού της μέσω ιδιωτικού της πρατηρίου καυσίμων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Δικαιούχα πρόσωπα για την παραλαβή καυσίμων κινητήρων με απαλλαγή από τον ΕΦΚ σύμφωνα με την κατωτέρω διαδικασία είναι:</w:t>
      </w:r>
    </w:p>
    <w:p>
      <w:pPr>
        <w:spacing w:before="240" w:after="240"/>
        <w:rPr>
          <w:lang w:val="el" w:eastAsia="el"/>
        </w:rPr>
      </w:pPr>
      <w:r>
        <w:rPr>
          <w:lang w:val="el" w:eastAsia="el"/>
        </w:rPr>
        <w:t>α. η Πρεσβεία των Η.Π.Α. για εξυπηρέτηση των υπηρεσιακών της αναγκών,</w:t>
      </w:r>
    </w:p>
    <w:p>
      <w:pPr>
        <w:spacing w:before="240" w:after="240"/>
        <w:rPr>
          <w:lang w:val="el" w:eastAsia="el"/>
        </w:rPr>
      </w:pPr>
      <w:r>
        <w:rPr>
          <w:lang w:val="el" w:eastAsia="el"/>
        </w:rPr>
        <w:t>β. ο αρχηγός της διπλωματικής αποστολής των ΗΠΑ, τα λοιπά μέλη του διπλωματικού και διοικητικού προσωπικού αυτής, εφόσον προβλέπεται από την άδεια λειτουργίας του ιδιωτικού πρατηρίου υγρών καυσίμων.</w:t>
      </w:r>
    </w:p>
    <w:p>
      <w:pPr>
        <w:pStyle w:val="MainText"/>
        <w:spacing w:before="120" w:after="0"/>
        <w:rPr>
          <w:lang w:val="el" w:eastAsia="el"/>
        </w:rPr>
      </w:pPr>
      <w:r>
        <w:rPr>
          <w:b/>
          <w:bCs/>
          <w:lang w:val="el" w:eastAsia="el"/>
        </w:rPr>
        <w:t>2.</w:t>
      </w:r>
      <w:r>
        <w:rPr>
          <w:lang w:val="el" w:eastAsia="el"/>
        </w:rPr>
        <w:t xml:space="preserve"> Οι ανώτατες ποσότητες καυσίμων κινητήρων που δύνανται να παραλαμβάνονται ανά μήνα σύμφωνα με τη διαδικασία που καθορίζεται με την παρούσα απόφαση είναι αυτές που προβλέπονται στο άρθρο 2 της αριθμ. Δ18Α5010879ΕΞ2011/9-3-2011 ΑΥΟ και στο άρθρο 1 της αριθμ. Δ. 789/73/1-6-2000 ΑΥΟ.</w:t>
      </w:r>
    </w:p>
    <w:p>
      <w:pPr>
        <w:spacing w:before="240" w:after="240"/>
        <w:rPr>
          <w:lang w:val="el" w:eastAsia="el"/>
        </w:rPr>
      </w:pPr>
      <w:r>
        <w:rPr>
          <w:lang w:val="el" w:eastAsia="el"/>
        </w:rPr>
        <w:t>Σε περίπτωση όπου από τα ανωτέρω πρόσωπα παραληφθούν ποσότητες καυσίμων μικρότερες από τις δικαιούμενες δεν παρέχεται η δυνατότητα μεταφοράς της μη παραληφθείσας ποσότητας τον επόμενο μήνα.</w:t>
      </w:r>
    </w:p>
    <w:p>
      <w:pPr>
        <w:pStyle w:val="MainText"/>
        <w:spacing w:before="120" w:after="0"/>
        <w:rPr>
          <w:lang w:val="el" w:eastAsia="el"/>
        </w:rPr>
      </w:pPr>
      <w:r>
        <w:rPr>
          <w:b/>
          <w:bCs/>
          <w:lang w:val="el" w:eastAsia="el"/>
        </w:rPr>
        <w:t>3.</w:t>
      </w:r>
      <w:r>
        <w:rPr>
          <w:lang w:val="el" w:eastAsia="el"/>
        </w:rPr>
        <w:t xml:space="preserve"> Τα ανωτέρω θα εφαρμόζονται εφόσον τηρείται η συνδρομή του όρου της αμοιβαιότητας, όπως αυτή βεβαιώνεται από την αρμόδια υπηρεσία του Υπουργείου Εξωτερικών.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παράδοσης καυσίμων κινητήρων</w:t>
      </w:r>
    </w:p>
    <w:p>
      <w:pPr>
        <w:spacing w:before="240" w:after="240"/>
        <w:rPr>
          <w:lang w:val="el" w:eastAsia="el"/>
        </w:rPr>
      </w:pPr>
      <w:r>
        <w:rPr>
          <w:lang w:val="el" w:eastAsia="el"/>
        </w:rPr>
        <w:t>Για την παράδοση από την αρμόδια τελωνειακή αρχή καυσίμων κινητήρων στα δικαιούχα πρόσωπα του άρθρου 1 της παρούσας:</w:t>
      </w:r>
    </w:p>
    <w:p>
      <w:pPr>
        <w:pStyle w:val="MainText"/>
        <w:spacing w:before="120" w:after="0"/>
        <w:rPr>
          <w:lang w:val="el" w:eastAsia="el"/>
        </w:rPr>
      </w:pPr>
      <w:r>
        <w:rPr>
          <w:b/>
          <w:bCs/>
          <w:lang w:val="el" w:eastAsia="el"/>
        </w:rPr>
        <w:t>1.</w:t>
      </w:r>
      <w:r>
        <w:rPr>
          <w:lang w:val="el" w:eastAsia="el"/>
        </w:rPr>
        <w:t xml:space="preserve"> Κατατίθεται στην αρμόδια τελωνειακή αρχή τελωνειακό παραστατικό (ΔΕΦΚ) σε μηνιαία βάση στο όνομα της Πρεσβείας για λογαριασμό των δικαιούχων απαλλαγής προσώπων. Η συνολική ποσότητα καυσίμων για την οποία κατατίθεται η ΔΕΦΚ προσδιορίζεται από το σύνολο των δικαιούχων προσώπων σε συνδυασμό με τις προβλεπόμενες ανά κατηγορία υπαλλήλων ποσότητες καυσίμων.</w:t>
      </w:r>
    </w:p>
    <w:p>
      <w:pPr>
        <w:pStyle w:val="MainText"/>
        <w:spacing w:before="120" w:after="0"/>
        <w:rPr>
          <w:lang w:val="el" w:eastAsia="el"/>
        </w:rPr>
      </w:pPr>
      <w:r>
        <w:rPr>
          <w:b/>
          <w:bCs/>
          <w:lang w:val="el" w:eastAsia="el"/>
        </w:rPr>
        <w:t>2.</w:t>
      </w:r>
      <w:r>
        <w:rPr>
          <w:lang w:val="el" w:eastAsia="el"/>
        </w:rPr>
        <w:t xml:space="preserve"> Στο κατατιθέμενο παραστατικό επισυνάπτεται κατάσταση στην οποία περιλαμβάνονται τα δικαιούχα ατελείας πρόσωπα, η ιδιότητα αυτών, ο αριθμός κυκλοφορίας του οχήματος και οι ανά υπάλληλο αιτούμενες απαλλαγής ποσότητες καυσίμων, θεωρημένη από την αρμόδια υπηρεσία του Υπουργείου Εξωτερικών ως προς την συνδρομή του όρου της αμοιβαιότητας.</w:t>
      </w:r>
    </w:p>
    <w:p>
      <w:pPr>
        <w:pStyle w:val="MainText"/>
        <w:spacing w:before="120" w:after="0"/>
        <w:rPr>
          <w:lang w:val="el" w:eastAsia="el"/>
        </w:rPr>
      </w:pPr>
      <w:r>
        <w:rPr>
          <w:b/>
          <w:bCs/>
          <w:lang w:val="el" w:eastAsia="el"/>
        </w:rPr>
        <w:t>3.</w:t>
      </w:r>
      <w:r>
        <w:rPr>
          <w:lang w:val="el" w:eastAsia="el"/>
        </w:rPr>
        <w:t xml:space="preserve"> Η ανωτέρω ποσότητα παραδίδεται με απαλλαγή από τον ΕΦΚ και συντάσσεται σχετική πράξη επί του κατατιθέμενου τελωνειακού παραστατικού, το οποίο παραμένει σε εκκρεμότητα έως την προσκόμιση των προβλεπόμενων στο άρθρο 3 στοιχείων και την οριστικοποίηση της ατέλειας.</w:t>
      </w:r>
    </w:p>
    <w:p>
      <w:pPr>
        <w:pStyle w:val="MainText"/>
        <w:spacing w:before="120" w:after="0"/>
        <w:rPr>
          <w:lang w:val="el" w:eastAsia="el"/>
        </w:rPr>
      </w:pPr>
      <w:r>
        <w:rPr>
          <w:b/>
          <w:bCs/>
          <w:lang w:val="el" w:eastAsia="el"/>
        </w:rPr>
        <w:t>4.</w:t>
      </w:r>
      <w:r>
        <w:rPr>
          <w:lang w:val="el" w:eastAsia="el"/>
        </w:rPr>
        <w:t xml:space="preserve"> Για την ποσότητα καυσίμων κινητήρων που προορίζεται για την εξυπηρέτηση των αναγκών της ίδιας της Πρεσβείας κατατίθεται παραστατικό στο όνομα αυτής.</w:t>
      </w:r>
    </w:p>
    <w:p>
      <w:pPr>
        <w:pStyle w:val="MainText"/>
        <w:spacing w:before="120" w:after="0"/>
        <w:rPr>
          <w:lang w:val="el" w:eastAsia="el"/>
        </w:rPr>
      </w:pPr>
      <w:r>
        <w:rPr>
          <w:b/>
          <w:bCs/>
          <w:lang w:val="el" w:eastAsia="el"/>
        </w:rPr>
        <w:t>5.</w:t>
      </w:r>
      <w:r>
        <w:rPr>
          <w:lang w:val="el" w:eastAsia="el"/>
        </w:rPr>
        <w:t xml:space="preserve"> Για τον εκάστοτε εφοδιασμό θα λαμβάνεται υπόψη το υπόλοιπο της αδιάθετης ποσότητας καυσίμων του πρατηρίου.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3Παραλαβή καυσίμων κινητήρων </w:t>
      </w:r>
    </w:p>
    <w:p>
      <w:pPr>
        <w:spacing w:before="240" w:after="240"/>
        <w:rPr>
          <w:lang w:val="el" w:eastAsia="el"/>
        </w:rPr>
      </w:pPr>
      <w:r>
        <w:rPr>
          <w:lang w:val="el" w:eastAsia="el"/>
        </w:rPr>
        <w:t>-οριστικοποίηση ατέλειας</w:t>
      </w:r>
    </w:p>
    <w:p>
      <w:pPr>
        <w:pStyle w:val="MainText"/>
        <w:spacing w:before="120" w:after="0"/>
        <w:rPr>
          <w:lang w:val="el" w:eastAsia="el"/>
        </w:rPr>
      </w:pPr>
      <w:r>
        <w:rPr>
          <w:b/>
          <w:bCs/>
          <w:lang w:val="el" w:eastAsia="el"/>
        </w:rPr>
        <w:t>1.</w:t>
      </w:r>
      <w:r>
        <w:rPr>
          <w:lang w:val="el" w:eastAsia="el"/>
        </w:rPr>
        <w:t xml:space="preserve"> Η Πρεσβεία τηρεί μηνιαία αναλυτική κατάσταση για τις παραλαβές καυσίμων κινητήρων από τα δικαιούχα ατελείας πρόσωπα, η οποία προσυπογράφεται είτε από τον παραλήπτη είτε από νόμιμα εξουσιοδοτημένο υπάλληλο αυτής. Η κατάσταση αυτή περιλαμβάνει απαραίτητα τα πλήρη στοιχεία του παραλήπτη, την ποσότητα που παρέλαβε, τα στοιχεία του οχήματος καθώς και τη μη παραληφθείσα ποσότητα.</w:t>
      </w:r>
    </w:p>
    <w:p>
      <w:pPr>
        <w:pStyle w:val="MainText"/>
        <w:spacing w:before="120" w:after="0"/>
        <w:rPr>
          <w:lang w:val="el" w:eastAsia="el"/>
        </w:rPr>
      </w:pPr>
      <w:r>
        <w:rPr>
          <w:b/>
          <w:bCs/>
          <w:lang w:val="el" w:eastAsia="el"/>
        </w:rPr>
        <w:t>2.</w:t>
      </w:r>
      <w:r>
        <w:rPr>
          <w:lang w:val="el" w:eastAsia="el"/>
        </w:rPr>
        <w:t xml:space="preserve"> Αντίγραφο της ανωτέρω κατάστασης προσκομίζεται στην αρμόδια τελωνειακή αρχή έως τις 10 του επόμενου μήνα από το μήνα κατάθεσης του παραστατικού.</w:t>
      </w:r>
    </w:p>
    <w:p>
      <w:pPr>
        <w:pStyle w:val="MainText"/>
        <w:spacing w:before="120" w:after="0"/>
        <w:rPr>
          <w:lang w:val="el" w:eastAsia="el"/>
        </w:rPr>
      </w:pPr>
      <w:r>
        <w:rPr>
          <w:b/>
          <w:bCs/>
          <w:lang w:val="el" w:eastAsia="el"/>
        </w:rPr>
        <w:t>3.</w:t>
      </w:r>
      <w:r>
        <w:rPr>
          <w:lang w:val="el" w:eastAsia="el"/>
        </w:rPr>
        <w:t xml:space="preserve"> Η αρμόδια τελωνειακή αρχή, αφού διενεργήσει σχετικό έλεγχο για τις παραληφθείσες ποσότητες από τα δικαιούχα πρόσωπα, οριστικοποιεί την απαλλαγή από τον ΕΦΚ, κάνοντας μνεία στη σχετική κατάσταση. Η ανωτέρω κατάσταση τηρείται σε ξεχωριστό αρχείο για την διενέργεια εκ των υστέρων ελέγχων.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4Έλεγχος</w:t>
      </w:r>
    </w:p>
    <w:p>
      <w:pPr>
        <w:pStyle w:val="MainText"/>
        <w:spacing w:before="120" w:after="0"/>
        <w:rPr>
          <w:lang w:val="el" w:eastAsia="el"/>
        </w:rPr>
      </w:pPr>
      <w:r>
        <w:rPr>
          <w:b/>
          <w:bCs/>
          <w:lang w:val="el" w:eastAsia="el"/>
        </w:rPr>
        <w:t>1.</w:t>
      </w:r>
      <w:r>
        <w:rPr>
          <w:lang w:val="el" w:eastAsia="el"/>
        </w:rPr>
        <w:t xml:space="preserve"> Η αρμόδια τελωνειακή αρχή προβαίνει σε τακτικούς ελέγχους ετησίως για τη διάθεση των καυσίμων από το πρατήριο σύμφωνα με τα προβλεπόμενα στην παρούσα ΑΥΟ, τηρουμένης της ισχύουσας εθνικής και κοινοτικής νομοθεσίας, καθώς και για τα αποθέματα των καυσίμων στο πρατήριο. Επιπλέον, η αρμόδια τελωνειακή αρχή δύναται να προβαίνει και σε έκτακτους ελέγχους οποτεδήποτε κρίνει σκόπιμο για τη διασφάλιση των συμφερόντων του Δημοσίου.</w:t>
      </w:r>
    </w:p>
    <w:p>
      <w:pPr>
        <w:pStyle w:val="MainText"/>
        <w:spacing w:before="120" w:after="0"/>
        <w:rPr>
          <w:lang w:val="el" w:eastAsia="el"/>
        </w:rPr>
      </w:pPr>
      <w:r>
        <w:rPr>
          <w:b/>
          <w:bCs/>
          <w:lang w:val="el" w:eastAsia="el"/>
        </w:rPr>
        <w:t>2.</w:t>
      </w:r>
      <w:r>
        <w:rPr>
          <w:lang w:val="el" w:eastAsia="el"/>
        </w:rPr>
        <w:t xml:space="preserve"> Για τη διενέργεια ελέγχου στις εγκαταστάσεις της Πρεσβείας ενημερώνεται σχετικά η Πρεσβεία από την τελωνειακή αρχή 24 ώρες νωρίτερα, γνωστοποιώντας της τα στοιχεία των ελεγκτών της υπηρεσίας.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Αρμόδια αρχή</w:t>
      </w:r>
    </w:p>
    <w:p>
      <w:pPr>
        <w:spacing w:before="240" w:after="240"/>
        <w:rPr>
          <w:lang w:val="el" w:eastAsia="el"/>
        </w:rPr>
      </w:pPr>
      <w:r>
        <w:rPr>
          <w:lang w:val="el" w:eastAsia="el"/>
        </w:rPr>
        <w:t>Αρμόδια Τελωνειακή αρχή για την εφαρμογή της ανωτέρω διαδικασίας ορίζεται το Δ’ Τελωνείο Επίβλεψης Συγκροτημάτων Πειραιά.</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Μαρτίου 2012</w:t>
      </w:r>
    </w:p>
    <w:p>
      <w:pPr>
        <w:spacing w:before="240" w:after="240"/>
        <w:rPr>
          <w:lang w:val="el" w:eastAsia="el"/>
        </w:rPr>
      </w:pPr>
      <w:r>
        <w:rPr>
          <w:lang w:val="el" w:eastAsia="el"/>
        </w:rPr>
        <w:t>Ο ΑΝΑΠΛΗΡΩΤΗΣ ΥΠΟΥΡΓΟΣ</w:t>
      </w:r>
      <w:r>
        <w:rPr>
          <w:b/>
          <w:bCs/>
          <w:lang w:val="el" w:eastAsia="el"/>
        </w:rPr>
        <w:t>ΠΑΝΤΕΛΗΣ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