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ΠΟΛ 1058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προθεσμίας ηλεκτρονικής υποβολής της δήλωσης στοιχείων ακινήτων φυσικών και νομικών προσώπων (Ε9) έτους 2011.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1 του άρθρου 23 του Ν. 3427/2005 (ΦΕΚ 312 Α’/27-12-2005).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3 του άρθρου 23 του Ν. 3427/2005, με τις οποίες εξουσιοδοτείται ο Υπουργός Οικονομίας και Οικονομικών να παρατείνει την προθεσμία καθώς και να καθορίζει τον τρόπο υποβολής της δήλωσης στοιχείων ακινήτων.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αριθ. Υ25 απόφαση του Πρωθυπουργού «Καθορισμός αρμοδιοτήτων των Αναπληρωτών Υπουργών Οικονομικών Φίλιππου Σαχινίδη και Παντελή Οικονόμου» (ΦΕΚ 2792 Β’/8-12-2011).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με την παρούσα απόφαση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προθεσμία ηλεκτρονικής υποβολής της δήλωσης στοιχείων ακινήτων (Ε9) φυσικών προσώπων έτους 2011, παρατείνεται μέχρι και την 30-3-2012.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 Μαρτίου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